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1BFD" w14:textId="2EC1BD73" w:rsidR="00965D88" w:rsidRPr="00475D84" w:rsidRDefault="00475D84">
      <w:pPr>
        <w:pStyle w:val="Body"/>
        <w:spacing w:after="120" w:line="360" w:lineRule="auto"/>
        <w:jc w:val="center"/>
        <w:rPr>
          <w:rFonts w:ascii="Century Gothic" w:eastAsia="Century Gothic" w:hAnsi="Century Gothic" w:cs="Century Gothic"/>
          <w:b/>
          <w:bCs/>
          <w:sz w:val="36"/>
          <w:szCs w:val="36"/>
        </w:rPr>
      </w:pPr>
      <w:r w:rsidRPr="00475D84">
        <w:rPr>
          <w:rFonts w:ascii="Century Gothic" w:hAnsi="Century Gothic"/>
          <w:noProof/>
        </w:rPr>
        <w:drawing>
          <wp:inline distT="0" distB="0" distL="0" distR="0" wp14:anchorId="598DAB22" wp14:editId="2AEB26B2">
            <wp:extent cx="1592580" cy="1589933"/>
            <wp:effectExtent l="0" t="0" r="7620" b="0"/>
            <wp:docPr id="22415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58760" name=""/>
                    <pic:cNvPicPr/>
                  </pic:nvPicPr>
                  <pic:blipFill>
                    <a:blip r:embed="rId7"/>
                    <a:stretch>
                      <a:fillRect/>
                    </a:stretch>
                  </pic:blipFill>
                  <pic:spPr>
                    <a:xfrm>
                      <a:off x="0" y="0"/>
                      <a:ext cx="1605303" cy="1602635"/>
                    </a:xfrm>
                    <a:prstGeom prst="rect">
                      <a:avLst/>
                    </a:prstGeom>
                  </pic:spPr>
                </pic:pic>
              </a:graphicData>
            </a:graphic>
          </wp:inline>
        </w:drawing>
      </w:r>
    </w:p>
    <w:p w14:paraId="0877AC14" w14:textId="77777777" w:rsidR="00965D88" w:rsidRPr="00475D84" w:rsidRDefault="00000000">
      <w:pPr>
        <w:pStyle w:val="Body"/>
        <w:spacing w:after="120" w:line="360" w:lineRule="auto"/>
        <w:jc w:val="center"/>
        <w:rPr>
          <w:rFonts w:ascii="Century Gothic" w:eastAsia="Century Gothic" w:hAnsi="Century Gothic" w:cs="Century Gothic"/>
          <w:b/>
          <w:bCs/>
          <w:sz w:val="36"/>
          <w:szCs w:val="36"/>
        </w:rPr>
      </w:pPr>
      <w:r w:rsidRPr="00475D84">
        <w:rPr>
          <w:rFonts w:ascii="Century Gothic" w:hAnsi="Century Gothic"/>
          <w:b/>
          <w:bCs/>
          <w:sz w:val="36"/>
          <w:szCs w:val="36"/>
          <w:lang w:val="en-US"/>
        </w:rPr>
        <w:t>Equality, Diversity, and Inclusion Policy</w:t>
      </w:r>
    </w:p>
    <w:p w14:paraId="721135B5" w14:textId="77777777" w:rsidR="00965D88" w:rsidRPr="00475D84" w:rsidRDefault="00965D88">
      <w:pPr>
        <w:pStyle w:val="Body"/>
        <w:spacing w:after="120" w:line="360" w:lineRule="auto"/>
        <w:jc w:val="center"/>
        <w:rPr>
          <w:rFonts w:ascii="Century Gothic" w:eastAsia="Century Gothic" w:hAnsi="Century Gothic" w:cs="Century Gothic"/>
          <w:b/>
          <w:bCs/>
          <w:sz w:val="2"/>
          <w:szCs w:val="2"/>
        </w:rPr>
      </w:pPr>
    </w:p>
    <w:tbl>
      <w:tblPr>
        <w:tblW w:w="9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56"/>
        <w:gridCol w:w="5760"/>
      </w:tblGrid>
      <w:tr w:rsidR="00965D88" w:rsidRPr="00475D84" w14:paraId="1E5D980B"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4654AC" w14:textId="77777777" w:rsidR="00965D88" w:rsidRPr="00475D84" w:rsidRDefault="00000000">
            <w:pPr>
              <w:pStyle w:val="Body"/>
              <w:rPr>
                <w:rFonts w:ascii="Century Gothic" w:hAnsi="Century Gothic"/>
              </w:rPr>
            </w:pPr>
            <w:r w:rsidRPr="00475D84">
              <w:rPr>
                <w:rFonts w:ascii="Century Gothic" w:hAnsi="Century Gothic"/>
                <w:b/>
                <w:bCs/>
                <w:lang w:val="en-US"/>
              </w:rPr>
              <w:t>Date of Issue</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2AFDF6" w14:textId="53ED8DE0" w:rsidR="00965D88" w:rsidRPr="00475D84" w:rsidRDefault="00475D84">
            <w:pPr>
              <w:pStyle w:val="Body"/>
              <w:spacing w:after="0" w:line="240" w:lineRule="auto"/>
              <w:rPr>
                <w:rFonts w:ascii="Century Gothic" w:hAnsi="Century Gothic"/>
              </w:rPr>
            </w:pPr>
            <w:r w:rsidRPr="00475D84">
              <w:rPr>
                <w:rFonts w:ascii="Century Gothic" w:hAnsi="Century Gothic"/>
                <w:lang w:val="en-US"/>
              </w:rPr>
              <w:t>May 2025</w:t>
            </w:r>
          </w:p>
        </w:tc>
      </w:tr>
      <w:tr w:rsidR="00965D88" w:rsidRPr="00475D84" w14:paraId="335B9E89"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E9107" w14:textId="77777777" w:rsidR="00965D88" w:rsidRPr="00475D84" w:rsidRDefault="00000000">
            <w:pPr>
              <w:pStyle w:val="Body"/>
              <w:spacing w:after="0" w:line="240" w:lineRule="auto"/>
              <w:rPr>
                <w:rFonts w:ascii="Century Gothic" w:hAnsi="Century Gothic"/>
              </w:rPr>
            </w:pPr>
            <w:r w:rsidRPr="00475D84">
              <w:rPr>
                <w:rFonts w:ascii="Century Gothic" w:hAnsi="Century Gothic"/>
                <w:b/>
                <w:bCs/>
                <w:lang w:val="en-US"/>
              </w:rPr>
              <w:t>Date Last Reviewed</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2E6167" w14:textId="6F9E54E1" w:rsidR="00965D88" w:rsidRPr="00475D84" w:rsidRDefault="00F67ACD">
            <w:pPr>
              <w:pStyle w:val="Body"/>
              <w:spacing w:after="0" w:line="240" w:lineRule="auto"/>
              <w:rPr>
                <w:rFonts w:ascii="Century Gothic" w:hAnsi="Century Gothic"/>
              </w:rPr>
            </w:pPr>
            <w:r>
              <w:rPr>
                <w:rFonts w:ascii="Century Gothic" w:hAnsi="Century Gothic"/>
                <w:lang w:val="en-US"/>
              </w:rPr>
              <w:t>April 2026</w:t>
            </w:r>
          </w:p>
        </w:tc>
      </w:tr>
      <w:tr w:rsidR="00965D88" w:rsidRPr="00475D84" w14:paraId="44D5EC96"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DDB9BF" w14:textId="77777777" w:rsidR="00965D88" w:rsidRPr="00475D84" w:rsidRDefault="00000000">
            <w:pPr>
              <w:pStyle w:val="Body"/>
              <w:spacing w:after="0" w:line="240" w:lineRule="auto"/>
              <w:rPr>
                <w:rFonts w:ascii="Century Gothic" w:hAnsi="Century Gothic"/>
              </w:rPr>
            </w:pPr>
            <w:r w:rsidRPr="00475D84">
              <w:rPr>
                <w:rFonts w:ascii="Century Gothic" w:hAnsi="Century Gothic"/>
                <w:b/>
                <w:bCs/>
                <w:lang w:val="en-US"/>
              </w:rPr>
              <w:t>Date of Next Review</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BB545" w14:textId="4A8A3C64" w:rsidR="00965D88" w:rsidRPr="00475D84" w:rsidRDefault="00F67ACD">
            <w:pPr>
              <w:pStyle w:val="Body"/>
              <w:spacing w:after="0" w:line="240" w:lineRule="auto"/>
              <w:rPr>
                <w:rFonts w:ascii="Century Gothic" w:hAnsi="Century Gothic"/>
              </w:rPr>
            </w:pPr>
            <w:r>
              <w:rPr>
                <w:rFonts w:ascii="Century Gothic" w:hAnsi="Century Gothic"/>
                <w:lang w:val="en-US"/>
              </w:rPr>
              <w:t>April</w:t>
            </w:r>
            <w:r w:rsidR="00475D84" w:rsidRPr="00475D84">
              <w:rPr>
                <w:rFonts w:ascii="Century Gothic" w:hAnsi="Century Gothic"/>
                <w:lang w:val="en-US"/>
              </w:rPr>
              <w:t xml:space="preserve"> 202</w:t>
            </w:r>
            <w:r>
              <w:rPr>
                <w:rFonts w:ascii="Century Gothic" w:hAnsi="Century Gothic"/>
                <w:lang w:val="en-US"/>
              </w:rPr>
              <w:t>7</w:t>
            </w:r>
          </w:p>
        </w:tc>
      </w:tr>
    </w:tbl>
    <w:p w14:paraId="5DE20C22" w14:textId="77777777" w:rsidR="00965D88" w:rsidRPr="00475D84" w:rsidRDefault="00965D88">
      <w:pPr>
        <w:pStyle w:val="Body"/>
        <w:widowControl w:val="0"/>
        <w:spacing w:after="120" w:line="240" w:lineRule="auto"/>
        <w:jc w:val="center"/>
        <w:rPr>
          <w:rFonts w:ascii="Century Gothic" w:eastAsia="Century Gothic" w:hAnsi="Century Gothic" w:cs="Century Gothic"/>
          <w:b/>
          <w:bCs/>
          <w:sz w:val="2"/>
          <w:szCs w:val="2"/>
        </w:rPr>
      </w:pPr>
    </w:p>
    <w:p w14:paraId="43F865CB" w14:textId="77777777" w:rsidR="00965D88" w:rsidRPr="00475D84" w:rsidRDefault="00965D88">
      <w:pPr>
        <w:pStyle w:val="Body"/>
        <w:rPr>
          <w:rFonts w:ascii="Century Gothic" w:hAnsi="Century Gothic"/>
        </w:rPr>
      </w:pPr>
    </w:p>
    <w:p w14:paraId="2B65F6BD" w14:textId="53D30408" w:rsidR="00965D88" w:rsidRPr="00475D84" w:rsidRDefault="00475D84">
      <w:pPr>
        <w:pStyle w:val="Body"/>
        <w:jc w:val="both"/>
        <w:rPr>
          <w:rFonts w:ascii="Century Gothic" w:eastAsia="Century Gothic" w:hAnsi="Century Gothic" w:cs="Century Gothic"/>
        </w:rPr>
      </w:pPr>
      <w:proofErr w:type="spellStart"/>
      <w:r w:rsidRPr="00475D84">
        <w:rPr>
          <w:rFonts w:ascii="Century Gothic" w:hAnsi="Century Gothic"/>
          <w:lang w:val="en-US"/>
        </w:rPr>
        <w:t>SENDhelp</w:t>
      </w:r>
      <w:proofErr w:type="spellEnd"/>
      <w:r w:rsidRPr="00475D84">
        <w:rPr>
          <w:rFonts w:ascii="Century Gothic" w:hAnsi="Century Gothic"/>
          <w:lang w:val="en-US"/>
        </w:rPr>
        <w:t xml:space="preserve"> is committed to challenging all forms of discrimination in line with the 2010 Equality Act. The Act states that an individual cannot be discriminated against as a result of the following protected characteristics;</w:t>
      </w:r>
    </w:p>
    <w:p w14:paraId="01B769E9" w14:textId="77777777" w:rsidR="00965D88" w:rsidRPr="00475D84" w:rsidRDefault="00000000">
      <w:pPr>
        <w:pStyle w:val="ListParagraph"/>
        <w:numPr>
          <w:ilvl w:val="0"/>
          <w:numId w:val="2"/>
        </w:numPr>
        <w:jc w:val="both"/>
        <w:rPr>
          <w:rFonts w:ascii="Century Gothic" w:hAnsi="Century Gothic"/>
          <w:sz w:val="22"/>
          <w:szCs w:val="22"/>
        </w:rPr>
      </w:pPr>
      <w:r w:rsidRPr="00475D84">
        <w:rPr>
          <w:rFonts w:ascii="Century Gothic" w:hAnsi="Century Gothic"/>
          <w:sz w:val="22"/>
          <w:szCs w:val="22"/>
        </w:rPr>
        <w:t>Age</w:t>
      </w:r>
    </w:p>
    <w:p w14:paraId="7466BA6D" w14:textId="77777777" w:rsidR="00965D88" w:rsidRPr="00475D84" w:rsidRDefault="00000000">
      <w:pPr>
        <w:pStyle w:val="ListParagraph"/>
        <w:numPr>
          <w:ilvl w:val="0"/>
          <w:numId w:val="2"/>
        </w:numPr>
        <w:jc w:val="both"/>
        <w:rPr>
          <w:rFonts w:ascii="Century Gothic" w:hAnsi="Century Gothic"/>
          <w:sz w:val="22"/>
          <w:szCs w:val="22"/>
        </w:rPr>
      </w:pPr>
      <w:r w:rsidRPr="00475D84">
        <w:rPr>
          <w:rFonts w:ascii="Century Gothic" w:hAnsi="Century Gothic"/>
          <w:sz w:val="22"/>
          <w:szCs w:val="22"/>
        </w:rPr>
        <w:t>Disability (physical, sensory, neurodiversity, learning disability, mental ill health)</w:t>
      </w:r>
    </w:p>
    <w:p w14:paraId="240ADCF1" w14:textId="77777777" w:rsidR="00965D88" w:rsidRPr="00475D84" w:rsidRDefault="00000000">
      <w:pPr>
        <w:pStyle w:val="ListParagraph"/>
        <w:numPr>
          <w:ilvl w:val="0"/>
          <w:numId w:val="2"/>
        </w:numPr>
        <w:jc w:val="both"/>
        <w:rPr>
          <w:rFonts w:ascii="Century Gothic" w:hAnsi="Century Gothic"/>
          <w:sz w:val="22"/>
          <w:szCs w:val="22"/>
        </w:rPr>
      </w:pPr>
      <w:r w:rsidRPr="00475D84">
        <w:rPr>
          <w:rFonts w:ascii="Century Gothic" w:hAnsi="Century Gothic"/>
          <w:sz w:val="22"/>
          <w:szCs w:val="22"/>
        </w:rPr>
        <w:t>Gender Reassignment</w:t>
      </w:r>
    </w:p>
    <w:p w14:paraId="4FCABEF9" w14:textId="77777777" w:rsidR="00965D88" w:rsidRDefault="00000000">
      <w:pPr>
        <w:pStyle w:val="ListParagraph"/>
        <w:numPr>
          <w:ilvl w:val="0"/>
          <w:numId w:val="2"/>
        </w:numPr>
        <w:jc w:val="both"/>
        <w:rPr>
          <w:rFonts w:ascii="Century Gothic" w:hAnsi="Century Gothic"/>
          <w:sz w:val="22"/>
          <w:szCs w:val="22"/>
        </w:rPr>
      </w:pPr>
      <w:r w:rsidRPr="00475D84">
        <w:rPr>
          <w:rFonts w:ascii="Century Gothic" w:hAnsi="Century Gothic"/>
          <w:sz w:val="22"/>
          <w:szCs w:val="22"/>
        </w:rPr>
        <w:t>Marriage and Civil Partnership Status</w:t>
      </w:r>
    </w:p>
    <w:p w14:paraId="0CF82A24" w14:textId="77777777" w:rsidR="00475D84" w:rsidRPr="00475D84" w:rsidRDefault="00475D84">
      <w:pPr>
        <w:pStyle w:val="ListParagraph"/>
        <w:numPr>
          <w:ilvl w:val="0"/>
          <w:numId w:val="2"/>
        </w:numPr>
        <w:jc w:val="both"/>
        <w:rPr>
          <w:rFonts w:ascii="Century Gothic" w:hAnsi="Century Gothic"/>
          <w:sz w:val="22"/>
          <w:szCs w:val="22"/>
        </w:rPr>
      </w:pPr>
    </w:p>
    <w:p w14:paraId="300D43DB" w14:textId="77777777" w:rsidR="00965D88" w:rsidRPr="00475D84" w:rsidRDefault="00000000">
      <w:pPr>
        <w:pStyle w:val="ListParagraph"/>
        <w:numPr>
          <w:ilvl w:val="0"/>
          <w:numId w:val="2"/>
        </w:numPr>
        <w:jc w:val="both"/>
        <w:rPr>
          <w:rFonts w:ascii="Century Gothic" w:hAnsi="Century Gothic"/>
          <w:sz w:val="22"/>
          <w:szCs w:val="22"/>
        </w:rPr>
      </w:pPr>
      <w:r w:rsidRPr="00475D84">
        <w:rPr>
          <w:rFonts w:ascii="Century Gothic" w:hAnsi="Century Gothic"/>
          <w:sz w:val="22"/>
          <w:szCs w:val="22"/>
        </w:rPr>
        <w:t>Pregnancy and Maternity Status</w:t>
      </w:r>
    </w:p>
    <w:p w14:paraId="07F0E388" w14:textId="77777777" w:rsidR="00965D88" w:rsidRPr="00475D84" w:rsidRDefault="00000000">
      <w:pPr>
        <w:pStyle w:val="ListParagraph"/>
        <w:numPr>
          <w:ilvl w:val="0"/>
          <w:numId w:val="2"/>
        </w:numPr>
        <w:jc w:val="both"/>
        <w:rPr>
          <w:rFonts w:ascii="Century Gothic" w:hAnsi="Century Gothic"/>
          <w:sz w:val="22"/>
          <w:szCs w:val="22"/>
        </w:rPr>
      </w:pPr>
      <w:r w:rsidRPr="00475D84">
        <w:rPr>
          <w:rFonts w:ascii="Century Gothic" w:hAnsi="Century Gothic"/>
          <w:sz w:val="22"/>
          <w:szCs w:val="22"/>
        </w:rPr>
        <w:t>Race and Ethnic Origin</w:t>
      </w:r>
    </w:p>
    <w:p w14:paraId="3F558A02" w14:textId="77777777" w:rsidR="00965D88" w:rsidRPr="00475D84" w:rsidRDefault="00000000">
      <w:pPr>
        <w:pStyle w:val="ListParagraph"/>
        <w:numPr>
          <w:ilvl w:val="0"/>
          <w:numId w:val="2"/>
        </w:numPr>
        <w:jc w:val="both"/>
        <w:rPr>
          <w:rFonts w:ascii="Century Gothic" w:hAnsi="Century Gothic"/>
          <w:sz w:val="22"/>
          <w:szCs w:val="22"/>
        </w:rPr>
      </w:pPr>
      <w:r w:rsidRPr="00475D84">
        <w:rPr>
          <w:rFonts w:ascii="Century Gothic" w:hAnsi="Century Gothic"/>
          <w:sz w:val="22"/>
          <w:szCs w:val="22"/>
        </w:rPr>
        <w:t>Religion and Belief</w:t>
      </w:r>
    </w:p>
    <w:p w14:paraId="4F9C5202" w14:textId="77777777" w:rsidR="00965D88" w:rsidRPr="00475D84" w:rsidRDefault="00000000">
      <w:pPr>
        <w:pStyle w:val="ListParagraph"/>
        <w:numPr>
          <w:ilvl w:val="0"/>
          <w:numId w:val="2"/>
        </w:numPr>
        <w:jc w:val="both"/>
        <w:rPr>
          <w:rFonts w:ascii="Century Gothic" w:hAnsi="Century Gothic"/>
          <w:sz w:val="22"/>
          <w:szCs w:val="22"/>
        </w:rPr>
      </w:pPr>
      <w:r w:rsidRPr="00475D84">
        <w:rPr>
          <w:rFonts w:ascii="Century Gothic" w:hAnsi="Century Gothic"/>
          <w:sz w:val="22"/>
          <w:szCs w:val="22"/>
        </w:rPr>
        <w:t>Sex</w:t>
      </w:r>
    </w:p>
    <w:p w14:paraId="3B02E40E" w14:textId="77777777" w:rsidR="00965D88" w:rsidRPr="00475D84" w:rsidRDefault="00000000">
      <w:pPr>
        <w:pStyle w:val="ListParagraph"/>
        <w:numPr>
          <w:ilvl w:val="0"/>
          <w:numId w:val="2"/>
        </w:numPr>
        <w:jc w:val="both"/>
        <w:rPr>
          <w:rFonts w:ascii="Century Gothic" w:hAnsi="Century Gothic"/>
          <w:sz w:val="22"/>
          <w:szCs w:val="22"/>
        </w:rPr>
      </w:pPr>
      <w:r w:rsidRPr="00475D84">
        <w:rPr>
          <w:rFonts w:ascii="Century Gothic" w:hAnsi="Century Gothic"/>
          <w:sz w:val="22"/>
          <w:szCs w:val="22"/>
        </w:rPr>
        <w:t>Sexual Orientation</w:t>
      </w:r>
    </w:p>
    <w:p w14:paraId="78F3B1F1" w14:textId="77777777" w:rsidR="00965D88" w:rsidRPr="00475D84" w:rsidRDefault="00965D88">
      <w:pPr>
        <w:pStyle w:val="Body"/>
        <w:jc w:val="both"/>
        <w:rPr>
          <w:rFonts w:ascii="Century Gothic" w:eastAsia="Century Gothic" w:hAnsi="Century Gothic" w:cs="Century Gothic"/>
        </w:rPr>
      </w:pPr>
    </w:p>
    <w:p w14:paraId="37FE67FB" w14:textId="1EEF8B8E" w:rsidR="00965D88" w:rsidRPr="00475D84" w:rsidRDefault="00000000">
      <w:pPr>
        <w:pStyle w:val="Body"/>
        <w:jc w:val="both"/>
        <w:rPr>
          <w:rFonts w:ascii="Century Gothic" w:eastAsia="Century Gothic" w:hAnsi="Century Gothic" w:cs="Century Gothic"/>
        </w:rPr>
      </w:pPr>
      <w:r w:rsidRPr="00475D84">
        <w:rPr>
          <w:rFonts w:ascii="Century Gothic" w:hAnsi="Century Gothic"/>
          <w:lang w:val="en-US"/>
        </w:rPr>
        <w:t xml:space="preserve">At </w:t>
      </w:r>
      <w:proofErr w:type="spellStart"/>
      <w:r w:rsidR="00475D84" w:rsidRPr="00475D84">
        <w:rPr>
          <w:rFonts w:ascii="Century Gothic" w:hAnsi="Century Gothic"/>
          <w:lang w:val="en-US"/>
        </w:rPr>
        <w:t>SENDhelp</w:t>
      </w:r>
      <w:proofErr w:type="spellEnd"/>
      <w:r w:rsidRPr="00475D84">
        <w:rPr>
          <w:rFonts w:ascii="Century Gothic" w:hAnsi="Century Gothic"/>
          <w:lang w:val="en-US"/>
        </w:rPr>
        <w:t>, we are committed to going beyond this and challenging any form of discrimination that hinders the promotion of equity.</w:t>
      </w:r>
    </w:p>
    <w:p w14:paraId="35E7E4B9" w14:textId="77777777" w:rsidR="00965D88" w:rsidRPr="00475D84" w:rsidRDefault="00965D88">
      <w:pPr>
        <w:pStyle w:val="Body"/>
        <w:jc w:val="both"/>
        <w:rPr>
          <w:rFonts w:ascii="Century Gothic" w:eastAsia="Century Gothic" w:hAnsi="Century Gothic" w:cs="Century Gothic"/>
          <w:b/>
          <w:bCs/>
        </w:rPr>
      </w:pPr>
    </w:p>
    <w:p w14:paraId="1C3E4D33" w14:textId="77777777" w:rsidR="00965D88" w:rsidRPr="00475D84" w:rsidRDefault="00000000">
      <w:pPr>
        <w:pStyle w:val="Body"/>
        <w:jc w:val="both"/>
        <w:rPr>
          <w:rFonts w:ascii="Century Gothic" w:eastAsia="Century Gothic" w:hAnsi="Century Gothic" w:cs="Century Gothic"/>
          <w:b/>
          <w:bCs/>
        </w:rPr>
      </w:pPr>
      <w:r w:rsidRPr="00475D84">
        <w:rPr>
          <w:rFonts w:ascii="Century Gothic" w:hAnsi="Century Gothic"/>
          <w:b/>
          <w:bCs/>
          <w:lang w:val="en-US"/>
        </w:rPr>
        <w:t>TYPES OF DISCRIMINATION</w:t>
      </w:r>
    </w:p>
    <w:p w14:paraId="1D2455A7" w14:textId="5F2AD222" w:rsidR="00965D88" w:rsidRPr="00475D84" w:rsidRDefault="00475D84">
      <w:pPr>
        <w:pStyle w:val="Body"/>
        <w:jc w:val="both"/>
        <w:rPr>
          <w:rFonts w:ascii="Century Gothic" w:eastAsia="Century Gothic" w:hAnsi="Century Gothic" w:cs="Century Gothic"/>
        </w:rPr>
      </w:pPr>
      <w:proofErr w:type="spellStart"/>
      <w:r w:rsidRPr="00475D84">
        <w:rPr>
          <w:rFonts w:ascii="Century Gothic" w:hAnsi="Century Gothic"/>
          <w:lang w:val="en-US"/>
        </w:rPr>
        <w:t>SENDhelp</w:t>
      </w:r>
      <w:proofErr w:type="spellEnd"/>
      <w:r w:rsidRPr="00475D84">
        <w:rPr>
          <w:rFonts w:ascii="Century Gothic" w:hAnsi="Century Gothic"/>
          <w:lang w:val="en-US"/>
        </w:rPr>
        <w:t xml:space="preserve"> understands that there are four specific types of discrimination;</w:t>
      </w:r>
    </w:p>
    <w:p w14:paraId="15F69D05" w14:textId="77777777" w:rsidR="00965D88" w:rsidRPr="00475D84" w:rsidRDefault="00000000">
      <w:pPr>
        <w:pStyle w:val="ListParagraph"/>
        <w:numPr>
          <w:ilvl w:val="0"/>
          <w:numId w:val="4"/>
        </w:numPr>
        <w:jc w:val="both"/>
        <w:rPr>
          <w:rFonts w:ascii="Century Gothic" w:hAnsi="Century Gothic"/>
          <w:sz w:val="22"/>
          <w:szCs w:val="22"/>
        </w:rPr>
      </w:pPr>
      <w:r w:rsidRPr="00475D84">
        <w:rPr>
          <w:rFonts w:ascii="Century Gothic" w:hAnsi="Century Gothic"/>
          <w:b/>
          <w:bCs/>
          <w:sz w:val="22"/>
          <w:szCs w:val="22"/>
        </w:rPr>
        <w:t>Direct Discrimination</w:t>
      </w:r>
      <w:r w:rsidRPr="00475D84">
        <w:rPr>
          <w:rFonts w:ascii="Century Gothic" w:hAnsi="Century Gothic"/>
          <w:sz w:val="22"/>
          <w:szCs w:val="22"/>
        </w:rPr>
        <w:t xml:space="preserve">: This occurs when someone is treated less </w:t>
      </w:r>
      <w:proofErr w:type="spellStart"/>
      <w:r w:rsidRPr="00475D84">
        <w:rPr>
          <w:rFonts w:ascii="Century Gothic" w:hAnsi="Century Gothic"/>
          <w:sz w:val="22"/>
          <w:szCs w:val="22"/>
        </w:rPr>
        <w:t>favourably</w:t>
      </w:r>
      <w:proofErr w:type="spellEnd"/>
      <w:r w:rsidRPr="00475D84">
        <w:rPr>
          <w:rFonts w:ascii="Century Gothic" w:hAnsi="Century Gothic"/>
          <w:sz w:val="22"/>
          <w:szCs w:val="22"/>
        </w:rPr>
        <w:t xml:space="preserve"> than another person because of the presence or absence of protected characteristics. This includes discrimination by association and discrimination by perception. Discrimination by association is direct discrimination against someone because they associate with another person who possesses a protected characteristic. Discrimination by association is direct discrimination </w:t>
      </w:r>
      <w:r w:rsidRPr="00475D84">
        <w:rPr>
          <w:rFonts w:ascii="Century Gothic" w:hAnsi="Century Gothic"/>
          <w:sz w:val="22"/>
          <w:szCs w:val="22"/>
        </w:rPr>
        <w:lastRenderedPageBreak/>
        <w:t>against someone because others think they possess one of the protected characteristics.</w:t>
      </w:r>
    </w:p>
    <w:p w14:paraId="30F288E2" w14:textId="77777777" w:rsidR="00965D88" w:rsidRPr="00475D84" w:rsidRDefault="00965D88">
      <w:pPr>
        <w:pStyle w:val="ListParagraph"/>
        <w:jc w:val="both"/>
        <w:rPr>
          <w:rFonts w:ascii="Century Gothic" w:eastAsia="Century Gothic" w:hAnsi="Century Gothic" w:cs="Century Gothic"/>
          <w:sz w:val="22"/>
          <w:szCs w:val="22"/>
        </w:rPr>
      </w:pPr>
    </w:p>
    <w:p w14:paraId="637A0530" w14:textId="77777777" w:rsidR="00965D88" w:rsidRPr="00475D84" w:rsidRDefault="00000000">
      <w:pPr>
        <w:pStyle w:val="ListParagraph"/>
        <w:numPr>
          <w:ilvl w:val="0"/>
          <w:numId w:val="4"/>
        </w:numPr>
        <w:jc w:val="both"/>
        <w:rPr>
          <w:rFonts w:ascii="Century Gothic" w:hAnsi="Century Gothic"/>
          <w:sz w:val="22"/>
          <w:szCs w:val="22"/>
        </w:rPr>
      </w:pPr>
      <w:r w:rsidRPr="00475D84">
        <w:rPr>
          <w:rFonts w:ascii="Century Gothic" w:hAnsi="Century Gothic"/>
          <w:b/>
          <w:bCs/>
          <w:sz w:val="22"/>
          <w:szCs w:val="22"/>
        </w:rPr>
        <w:t>Indirect Discrimination</w:t>
      </w:r>
      <w:r w:rsidRPr="00475D84">
        <w:rPr>
          <w:rFonts w:ascii="Century Gothic" w:hAnsi="Century Gothic"/>
          <w:sz w:val="22"/>
          <w:szCs w:val="22"/>
        </w:rPr>
        <w:t xml:space="preserve">: </w:t>
      </w:r>
      <w:r w:rsidRPr="00475D84">
        <w:rPr>
          <w:rFonts w:ascii="Century Gothic" w:hAnsi="Century Gothic"/>
          <w:color w:val="0B0C0C"/>
          <w:sz w:val="22"/>
          <w:szCs w:val="22"/>
          <w:u w:color="0B0C0C"/>
        </w:rPr>
        <w:t>This occurs when rules or arrangements are put in place that apply to everyone, but that put someone with a protected characteristic at an unfair disadvantage</w:t>
      </w:r>
    </w:p>
    <w:p w14:paraId="5B260064" w14:textId="77777777" w:rsidR="00965D88" w:rsidRPr="00475D84" w:rsidRDefault="00000000">
      <w:pPr>
        <w:pStyle w:val="ListParagraph"/>
        <w:numPr>
          <w:ilvl w:val="0"/>
          <w:numId w:val="4"/>
        </w:numPr>
        <w:jc w:val="both"/>
        <w:rPr>
          <w:rFonts w:ascii="Century Gothic" w:hAnsi="Century Gothic"/>
          <w:sz w:val="22"/>
          <w:szCs w:val="22"/>
        </w:rPr>
      </w:pPr>
      <w:r w:rsidRPr="00475D84">
        <w:rPr>
          <w:rFonts w:ascii="Century Gothic" w:hAnsi="Century Gothic"/>
          <w:b/>
          <w:bCs/>
          <w:color w:val="0B0C0C"/>
          <w:sz w:val="22"/>
          <w:szCs w:val="22"/>
          <w:u w:color="0B0C0C"/>
        </w:rPr>
        <w:t>Harassment</w:t>
      </w:r>
      <w:r w:rsidRPr="00475D84">
        <w:rPr>
          <w:rFonts w:ascii="Century Gothic" w:hAnsi="Century Gothic"/>
          <w:color w:val="0B0C0C"/>
          <w:sz w:val="22"/>
          <w:szCs w:val="22"/>
          <w:u w:color="0B0C0C"/>
        </w:rPr>
        <w:t xml:space="preserve">: </w:t>
      </w:r>
      <w:r w:rsidRPr="00475D84">
        <w:rPr>
          <w:rFonts w:ascii="Century Gothic" w:hAnsi="Century Gothic"/>
          <w:sz w:val="22"/>
          <w:szCs w:val="22"/>
        </w:rPr>
        <w:t xml:space="preserve">This is </w:t>
      </w:r>
      <w:r w:rsidRPr="00475D84">
        <w:rPr>
          <w:rFonts w:ascii="Century Gothic" w:hAnsi="Century Gothic"/>
          <w:color w:val="0B0C0C"/>
          <w:sz w:val="22"/>
          <w:szCs w:val="22"/>
          <w:u w:color="0B0C0C"/>
        </w:rPr>
        <w:t xml:space="preserve">unwanted </w:t>
      </w:r>
      <w:proofErr w:type="spellStart"/>
      <w:r w:rsidRPr="00475D84">
        <w:rPr>
          <w:rFonts w:ascii="Century Gothic" w:hAnsi="Century Gothic"/>
          <w:color w:val="0B0C0C"/>
          <w:sz w:val="22"/>
          <w:szCs w:val="22"/>
          <w:u w:color="0B0C0C"/>
        </w:rPr>
        <w:t>behaviour</w:t>
      </w:r>
      <w:proofErr w:type="spellEnd"/>
      <w:r w:rsidRPr="00475D84">
        <w:rPr>
          <w:rFonts w:ascii="Century Gothic" w:hAnsi="Century Gothic"/>
          <w:color w:val="0B0C0C"/>
          <w:sz w:val="22"/>
          <w:szCs w:val="22"/>
          <w:u w:color="0B0C0C"/>
        </w:rPr>
        <w:t xml:space="preserve"> linked to a protected characteristic that violates someone’s dignity or creates an offensive environment for them. </w:t>
      </w:r>
      <w:r w:rsidRPr="00475D84">
        <w:rPr>
          <w:rFonts w:ascii="Century Gothic" w:hAnsi="Century Gothic"/>
          <w:sz w:val="22"/>
          <w:szCs w:val="22"/>
        </w:rPr>
        <w:t>A person can complain about harassment even if it is not directed at them; the complaint can relate to perception or association.</w:t>
      </w:r>
    </w:p>
    <w:p w14:paraId="5BE9E321" w14:textId="77777777" w:rsidR="00965D88" w:rsidRPr="00475D84" w:rsidRDefault="00965D88">
      <w:pPr>
        <w:pStyle w:val="ListParagraph"/>
        <w:jc w:val="both"/>
        <w:rPr>
          <w:rFonts w:ascii="Century Gothic" w:eastAsia="Century Gothic" w:hAnsi="Century Gothic" w:cs="Century Gothic"/>
          <w:sz w:val="22"/>
          <w:szCs w:val="22"/>
        </w:rPr>
      </w:pPr>
    </w:p>
    <w:p w14:paraId="36BB4AEC" w14:textId="77777777" w:rsidR="00965D88" w:rsidRPr="00475D84" w:rsidRDefault="00000000">
      <w:pPr>
        <w:pStyle w:val="ListParagraph"/>
        <w:jc w:val="both"/>
        <w:rPr>
          <w:rFonts w:ascii="Century Gothic" w:eastAsia="Century Gothic" w:hAnsi="Century Gothic" w:cs="Century Gothic"/>
          <w:sz w:val="22"/>
          <w:szCs w:val="22"/>
        </w:rPr>
      </w:pPr>
      <w:r w:rsidRPr="00475D84">
        <w:rPr>
          <w:rFonts w:ascii="Century Gothic" w:hAnsi="Century Gothic"/>
          <w:sz w:val="22"/>
          <w:szCs w:val="22"/>
        </w:rPr>
        <w:t xml:space="preserve">The 2010 Equality Act also makes the </w:t>
      </w:r>
      <w:proofErr w:type="spellStart"/>
      <w:r w:rsidRPr="00475D84">
        <w:rPr>
          <w:rFonts w:ascii="Century Gothic" w:hAnsi="Century Gothic"/>
          <w:sz w:val="22"/>
          <w:szCs w:val="22"/>
        </w:rPr>
        <w:t>organisation</w:t>
      </w:r>
      <w:proofErr w:type="spellEnd"/>
      <w:r w:rsidRPr="00475D84">
        <w:rPr>
          <w:rFonts w:ascii="Century Gothic" w:hAnsi="Century Gothic"/>
          <w:sz w:val="22"/>
          <w:szCs w:val="22"/>
        </w:rPr>
        <w:t xml:space="preserve"> potentially liable for harassment by third parties. This might include harassment of a staff member by a contractor or business partner. The </w:t>
      </w:r>
      <w:proofErr w:type="spellStart"/>
      <w:r w:rsidRPr="00475D84">
        <w:rPr>
          <w:rFonts w:ascii="Century Gothic" w:hAnsi="Century Gothic"/>
          <w:sz w:val="22"/>
          <w:szCs w:val="22"/>
        </w:rPr>
        <w:t>organisation</w:t>
      </w:r>
      <w:proofErr w:type="spellEnd"/>
      <w:r w:rsidRPr="00475D84">
        <w:rPr>
          <w:rFonts w:ascii="Century Gothic" w:hAnsi="Century Gothic"/>
          <w:sz w:val="22"/>
          <w:szCs w:val="22"/>
        </w:rPr>
        <w:t xml:space="preserve"> is liable when harassment has occurred on at least two previous occasions, the </w:t>
      </w:r>
      <w:proofErr w:type="spellStart"/>
      <w:r w:rsidRPr="00475D84">
        <w:rPr>
          <w:rFonts w:ascii="Century Gothic" w:hAnsi="Century Gothic"/>
          <w:sz w:val="22"/>
          <w:szCs w:val="22"/>
        </w:rPr>
        <w:t>organisation</w:t>
      </w:r>
      <w:proofErr w:type="spellEnd"/>
      <w:r w:rsidRPr="00475D84">
        <w:rPr>
          <w:rFonts w:ascii="Century Gothic" w:hAnsi="Century Gothic"/>
          <w:sz w:val="22"/>
          <w:szCs w:val="22"/>
        </w:rPr>
        <w:t xml:space="preserve"> is aware of it and reasonable steps have not been taken to prevent it from happening again.  </w:t>
      </w:r>
    </w:p>
    <w:p w14:paraId="4A3602B8" w14:textId="77777777" w:rsidR="00965D88" w:rsidRPr="00475D84" w:rsidRDefault="00965D88">
      <w:pPr>
        <w:pStyle w:val="ListParagraph"/>
        <w:jc w:val="both"/>
        <w:rPr>
          <w:rFonts w:ascii="Century Gothic" w:eastAsia="Century Gothic" w:hAnsi="Century Gothic" w:cs="Century Gothic"/>
          <w:sz w:val="22"/>
          <w:szCs w:val="22"/>
        </w:rPr>
      </w:pPr>
    </w:p>
    <w:p w14:paraId="15133586" w14:textId="77777777" w:rsidR="00965D88" w:rsidRPr="00475D84" w:rsidRDefault="00000000">
      <w:pPr>
        <w:pStyle w:val="ListParagraph"/>
        <w:numPr>
          <w:ilvl w:val="0"/>
          <w:numId w:val="4"/>
        </w:numPr>
        <w:jc w:val="both"/>
        <w:rPr>
          <w:rFonts w:ascii="Century Gothic" w:hAnsi="Century Gothic"/>
          <w:sz w:val="22"/>
          <w:szCs w:val="22"/>
        </w:rPr>
      </w:pPr>
      <w:proofErr w:type="spellStart"/>
      <w:r w:rsidRPr="00475D84">
        <w:rPr>
          <w:rFonts w:ascii="Century Gothic" w:hAnsi="Century Gothic"/>
          <w:b/>
          <w:bCs/>
          <w:sz w:val="22"/>
          <w:szCs w:val="22"/>
        </w:rPr>
        <w:t>Victimisation</w:t>
      </w:r>
      <w:proofErr w:type="spellEnd"/>
      <w:r w:rsidRPr="00475D84">
        <w:rPr>
          <w:rFonts w:ascii="Century Gothic" w:hAnsi="Century Gothic"/>
          <w:sz w:val="22"/>
          <w:szCs w:val="22"/>
        </w:rPr>
        <w:t xml:space="preserve">: </w:t>
      </w:r>
      <w:r w:rsidRPr="00475D84">
        <w:rPr>
          <w:rFonts w:ascii="Century Gothic" w:hAnsi="Century Gothic"/>
          <w:color w:val="0B0C0C"/>
          <w:sz w:val="22"/>
          <w:szCs w:val="22"/>
          <w:u w:color="0B0C0C"/>
        </w:rPr>
        <w:t xml:space="preserve">This involves treating someone unfairly because they’ve complained, or supported another to complain, about discrimination or harassment. </w:t>
      </w:r>
      <w:r w:rsidRPr="00475D84">
        <w:rPr>
          <w:rFonts w:ascii="Century Gothic" w:hAnsi="Century Gothic"/>
          <w:sz w:val="22"/>
          <w:szCs w:val="22"/>
        </w:rPr>
        <w:t xml:space="preserve">Individuals are not protected from </w:t>
      </w:r>
      <w:proofErr w:type="spellStart"/>
      <w:r w:rsidRPr="00475D84">
        <w:rPr>
          <w:rFonts w:ascii="Century Gothic" w:hAnsi="Century Gothic"/>
          <w:sz w:val="22"/>
          <w:szCs w:val="22"/>
        </w:rPr>
        <w:t>victimisation</w:t>
      </w:r>
      <w:proofErr w:type="spellEnd"/>
      <w:r w:rsidRPr="00475D84">
        <w:rPr>
          <w:rFonts w:ascii="Century Gothic" w:hAnsi="Century Gothic"/>
          <w:sz w:val="22"/>
          <w:szCs w:val="22"/>
        </w:rPr>
        <w:t xml:space="preserve"> if they have maliciously made or supported an untrue complaint.</w:t>
      </w:r>
    </w:p>
    <w:p w14:paraId="1CF8FFA4" w14:textId="77777777" w:rsidR="00965D88" w:rsidRPr="00475D84" w:rsidRDefault="00965D88">
      <w:pPr>
        <w:pStyle w:val="Body"/>
        <w:spacing w:after="0" w:line="240" w:lineRule="auto"/>
        <w:rPr>
          <w:rFonts w:ascii="Century Gothic" w:eastAsia="Century Gothic" w:hAnsi="Century Gothic" w:cs="Century Gothic"/>
          <w:b/>
          <w:bCs/>
        </w:rPr>
      </w:pPr>
    </w:p>
    <w:p w14:paraId="177405A1" w14:textId="77777777" w:rsidR="00965D88" w:rsidRPr="00475D84" w:rsidRDefault="00965D88">
      <w:pPr>
        <w:pStyle w:val="Body"/>
        <w:spacing w:after="0" w:line="240" w:lineRule="auto"/>
        <w:rPr>
          <w:rFonts w:ascii="Century Gothic" w:eastAsia="Century Gothic" w:hAnsi="Century Gothic" w:cs="Century Gothic"/>
          <w:b/>
          <w:bCs/>
        </w:rPr>
      </w:pPr>
    </w:p>
    <w:p w14:paraId="5908BD2A" w14:textId="77777777" w:rsidR="00965D88" w:rsidRPr="00475D84" w:rsidRDefault="00000000">
      <w:pPr>
        <w:pStyle w:val="Body"/>
        <w:spacing w:before="100" w:after="0" w:line="240" w:lineRule="auto"/>
        <w:jc w:val="both"/>
        <w:rPr>
          <w:rFonts w:ascii="Century Gothic" w:eastAsia="Century Gothic" w:hAnsi="Century Gothic" w:cs="Century Gothic"/>
          <w:b/>
          <w:bCs/>
        </w:rPr>
      </w:pPr>
      <w:r w:rsidRPr="00475D84">
        <w:rPr>
          <w:rFonts w:ascii="Century Gothic" w:hAnsi="Century Gothic"/>
          <w:b/>
          <w:bCs/>
          <w:lang w:val="en-US"/>
        </w:rPr>
        <w:t>PROTECTED CHARACTERISTICS</w:t>
      </w:r>
    </w:p>
    <w:p w14:paraId="3F4DDFA1" w14:textId="77777777" w:rsidR="00965D88" w:rsidRPr="00475D84" w:rsidRDefault="00000000">
      <w:pPr>
        <w:pStyle w:val="Body"/>
        <w:spacing w:before="100" w:after="0" w:line="240" w:lineRule="auto"/>
        <w:jc w:val="both"/>
        <w:rPr>
          <w:rFonts w:ascii="Century Gothic" w:eastAsia="Century Gothic" w:hAnsi="Century Gothic" w:cs="Century Gothic"/>
          <w:b/>
          <w:bCs/>
        </w:rPr>
      </w:pPr>
      <w:r w:rsidRPr="00475D84">
        <w:rPr>
          <w:rFonts w:ascii="Century Gothic" w:hAnsi="Century Gothic"/>
          <w:b/>
          <w:bCs/>
        </w:rPr>
        <w:t>Age</w:t>
      </w:r>
    </w:p>
    <w:p w14:paraId="2989087E" w14:textId="0D5D91C7" w:rsidR="00965D88" w:rsidRPr="00475D84" w:rsidRDefault="00475D84">
      <w:pPr>
        <w:pStyle w:val="Body"/>
        <w:spacing w:before="100" w:after="0" w:line="240" w:lineRule="auto"/>
        <w:jc w:val="both"/>
        <w:rPr>
          <w:rFonts w:ascii="Century Gothic" w:eastAsia="Century Gothic" w:hAnsi="Century Gothic" w:cs="Century Gothic"/>
        </w:rPr>
      </w:pPr>
      <w:proofErr w:type="spellStart"/>
      <w:r w:rsidRPr="00475D84">
        <w:rPr>
          <w:rFonts w:ascii="Century Gothic" w:hAnsi="Century Gothic"/>
          <w:lang w:val="en-US"/>
        </w:rPr>
        <w:t>SENDhelp</w:t>
      </w:r>
      <w:proofErr w:type="spellEnd"/>
      <w:r w:rsidRPr="00475D84">
        <w:rPr>
          <w:rFonts w:ascii="Century Gothic" w:hAnsi="Century Gothic"/>
          <w:lang w:val="en-US"/>
        </w:rPr>
        <w:t xml:space="preserve"> </w:t>
      </w:r>
      <w:proofErr w:type="spellStart"/>
      <w:r w:rsidRPr="00475D84">
        <w:rPr>
          <w:rFonts w:ascii="Century Gothic" w:hAnsi="Century Gothic"/>
          <w:lang w:val="en-US"/>
        </w:rPr>
        <w:t>recognises</w:t>
      </w:r>
      <w:proofErr w:type="spellEnd"/>
      <w:r w:rsidRPr="00475D84">
        <w:rPr>
          <w:rFonts w:ascii="Century Gothic" w:hAnsi="Century Gothic"/>
          <w:lang w:val="en-US"/>
        </w:rPr>
        <w:t xml:space="preserve"> the benefits of an age diverse team and therefore aims to comply fully with all of the relevant legislation relating to age including, but not exclusive of, the Employment Equality (Age) Regulations 2006, and all amendments thereof.  No job applicant or employee will receive less </w:t>
      </w:r>
      <w:proofErr w:type="spellStart"/>
      <w:r w:rsidRPr="00475D84">
        <w:rPr>
          <w:rFonts w:ascii="Century Gothic" w:hAnsi="Century Gothic"/>
          <w:lang w:val="en-US"/>
        </w:rPr>
        <w:t>favourable</w:t>
      </w:r>
      <w:proofErr w:type="spellEnd"/>
      <w:r w:rsidRPr="00475D84">
        <w:rPr>
          <w:rFonts w:ascii="Century Gothic" w:hAnsi="Century Gothic"/>
          <w:lang w:val="en-US"/>
        </w:rPr>
        <w:t xml:space="preserve"> treatment as a result of their actual or perceived age, or be disadvantaged by unjustifiable provisions, criteria or practices. Everybody engaging with </w:t>
      </w:r>
      <w:proofErr w:type="spellStart"/>
      <w:r w:rsidRPr="00475D84">
        <w:rPr>
          <w:rFonts w:ascii="Century Gothic" w:hAnsi="Century Gothic"/>
          <w:lang w:val="en-US"/>
        </w:rPr>
        <w:t>SENDhelp</w:t>
      </w:r>
      <w:proofErr w:type="spellEnd"/>
      <w:r w:rsidRPr="00475D84">
        <w:rPr>
          <w:rFonts w:ascii="Century Gothic" w:hAnsi="Century Gothic"/>
          <w:lang w:val="en-US"/>
        </w:rPr>
        <w:t xml:space="preserve"> will experience equity of service provision, irrespective of age.</w:t>
      </w:r>
    </w:p>
    <w:p w14:paraId="09179DEC" w14:textId="77777777" w:rsidR="00965D88" w:rsidRPr="00475D84" w:rsidRDefault="00000000">
      <w:pPr>
        <w:pStyle w:val="Body"/>
        <w:spacing w:before="100" w:after="0" w:line="240" w:lineRule="auto"/>
        <w:jc w:val="both"/>
        <w:rPr>
          <w:rFonts w:ascii="Century Gothic" w:eastAsia="Century Gothic" w:hAnsi="Century Gothic" w:cs="Century Gothic"/>
        </w:rPr>
      </w:pPr>
      <w:r w:rsidRPr="00475D84">
        <w:rPr>
          <w:rFonts w:ascii="Century Gothic" w:hAnsi="Century Gothic"/>
          <w:b/>
          <w:bCs/>
          <w:lang w:val="en-US"/>
        </w:rPr>
        <w:t>Disability</w:t>
      </w:r>
      <w:r w:rsidRPr="00475D84">
        <w:rPr>
          <w:rFonts w:ascii="Century Gothic" w:hAnsi="Century Gothic"/>
          <w:lang w:val="en-US"/>
        </w:rPr>
        <w:t xml:space="preserve"> (physical, sensory, </w:t>
      </w:r>
      <w:proofErr w:type="spellStart"/>
      <w:r w:rsidRPr="00475D84">
        <w:rPr>
          <w:rFonts w:ascii="Century Gothic" w:hAnsi="Century Gothic"/>
          <w:lang w:val="en-US"/>
        </w:rPr>
        <w:t>neurodivergency</w:t>
      </w:r>
      <w:proofErr w:type="spellEnd"/>
      <w:r w:rsidRPr="00475D84">
        <w:rPr>
          <w:rFonts w:ascii="Century Gothic" w:hAnsi="Century Gothic"/>
          <w:lang w:val="en-US"/>
        </w:rPr>
        <w:t>, learning disability, mental ill health)</w:t>
      </w:r>
    </w:p>
    <w:p w14:paraId="6A121989" w14:textId="53BAEA5E" w:rsidR="00965D88" w:rsidRPr="00475D84" w:rsidRDefault="00475D84">
      <w:pPr>
        <w:pStyle w:val="Body"/>
        <w:spacing w:before="100" w:after="0" w:line="240" w:lineRule="auto"/>
        <w:jc w:val="both"/>
        <w:rPr>
          <w:rFonts w:ascii="Century Gothic" w:eastAsia="Century Gothic" w:hAnsi="Century Gothic" w:cs="Century Gothic"/>
        </w:rPr>
      </w:pPr>
      <w:proofErr w:type="spellStart"/>
      <w:r w:rsidRPr="00475D84">
        <w:rPr>
          <w:rFonts w:ascii="Century Gothic" w:hAnsi="Century Gothic"/>
          <w:lang w:val="en-US"/>
        </w:rPr>
        <w:t>SENDhelp</w:t>
      </w:r>
      <w:proofErr w:type="spellEnd"/>
      <w:r w:rsidRPr="00475D84">
        <w:rPr>
          <w:rFonts w:ascii="Century Gothic" w:hAnsi="Century Gothic"/>
          <w:lang w:val="en-US"/>
        </w:rPr>
        <w:t xml:space="preserve"> is committed to promoting positive attitudes towards disabled people and aims to comply fully with all of the relevant legislation relating to disability including, but not exclusive to, the Disability Discrimination Act 1995 and 2005, the Equality Act 2010 and all amendments thereof.  Nobody will receive less </w:t>
      </w:r>
      <w:proofErr w:type="spellStart"/>
      <w:r w:rsidRPr="00475D84">
        <w:rPr>
          <w:rFonts w:ascii="Century Gothic" w:hAnsi="Century Gothic"/>
          <w:lang w:val="en-US"/>
        </w:rPr>
        <w:t>favourable</w:t>
      </w:r>
      <w:proofErr w:type="spellEnd"/>
      <w:r w:rsidRPr="00475D84">
        <w:rPr>
          <w:rFonts w:ascii="Century Gothic" w:hAnsi="Century Gothic"/>
          <w:lang w:val="en-US"/>
        </w:rPr>
        <w:t xml:space="preserve"> treatment as a result of their disability or be disadvantaged by unjustifiable provisions, criteria or practices. </w:t>
      </w:r>
      <w:proofErr w:type="spellStart"/>
      <w:r w:rsidRPr="00475D84">
        <w:rPr>
          <w:rFonts w:ascii="Century Gothic" w:hAnsi="Century Gothic"/>
          <w:lang w:val="en-US"/>
        </w:rPr>
        <w:t>SENDhelp</w:t>
      </w:r>
      <w:proofErr w:type="spellEnd"/>
      <w:r w:rsidRPr="00475D84">
        <w:rPr>
          <w:rFonts w:ascii="Century Gothic" w:hAnsi="Century Gothic"/>
          <w:lang w:val="en-US"/>
        </w:rPr>
        <w:t xml:space="preserve"> will actively seek to make reasonably practicable adjustments for disabled people.</w:t>
      </w:r>
    </w:p>
    <w:p w14:paraId="536A7C74" w14:textId="77777777" w:rsidR="00965D88" w:rsidRPr="00475D84" w:rsidRDefault="00000000">
      <w:pPr>
        <w:pStyle w:val="Body"/>
        <w:spacing w:before="100" w:after="0" w:line="240" w:lineRule="auto"/>
        <w:jc w:val="both"/>
        <w:rPr>
          <w:rFonts w:ascii="Century Gothic" w:eastAsia="Century Gothic" w:hAnsi="Century Gothic" w:cs="Century Gothic"/>
          <w:b/>
          <w:bCs/>
        </w:rPr>
      </w:pPr>
      <w:r w:rsidRPr="00475D84">
        <w:rPr>
          <w:rFonts w:ascii="Century Gothic" w:hAnsi="Century Gothic"/>
          <w:b/>
          <w:bCs/>
          <w:lang w:val="en-US"/>
        </w:rPr>
        <w:t>Race, Nationality and Ethnic Origin</w:t>
      </w:r>
    </w:p>
    <w:p w14:paraId="37354642" w14:textId="4D16DB2F" w:rsidR="00965D88" w:rsidRPr="00475D84" w:rsidRDefault="00475D84">
      <w:pPr>
        <w:pStyle w:val="Body"/>
        <w:spacing w:before="100" w:after="0" w:line="240" w:lineRule="auto"/>
        <w:jc w:val="both"/>
        <w:rPr>
          <w:rFonts w:ascii="Century Gothic" w:eastAsia="Century Gothic" w:hAnsi="Century Gothic" w:cs="Century Gothic"/>
        </w:rPr>
      </w:pPr>
      <w:proofErr w:type="spellStart"/>
      <w:r w:rsidRPr="00475D84">
        <w:rPr>
          <w:rFonts w:ascii="Century Gothic" w:hAnsi="Century Gothic"/>
          <w:lang w:val="en-US"/>
        </w:rPr>
        <w:t>SENDhelp</w:t>
      </w:r>
      <w:proofErr w:type="spellEnd"/>
      <w:r w:rsidRPr="00475D84">
        <w:rPr>
          <w:rFonts w:ascii="Century Gothic" w:hAnsi="Century Gothic"/>
          <w:lang w:val="en-US"/>
        </w:rPr>
        <w:t xml:space="preserve"> will not treat anyone less </w:t>
      </w:r>
      <w:proofErr w:type="spellStart"/>
      <w:r w:rsidRPr="00475D84">
        <w:rPr>
          <w:rFonts w:ascii="Century Gothic" w:hAnsi="Century Gothic"/>
          <w:lang w:val="en-US"/>
        </w:rPr>
        <w:t>favourably</w:t>
      </w:r>
      <w:proofErr w:type="spellEnd"/>
      <w:r w:rsidRPr="00475D84">
        <w:rPr>
          <w:rFonts w:ascii="Century Gothic" w:hAnsi="Century Gothic"/>
          <w:lang w:val="en-US"/>
        </w:rPr>
        <w:t xml:space="preserve"> because of their race, nationality or ethnic origin; nor will anybody be disadvantaged by unjustifiable provisions, criteria or practice </w:t>
      </w:r>
      <w:proofErr w:type="spellStart"/>
      <w:r w:rsidRPr="00475D84">
        <w:rPr>
          <w:rFonts w:ascii="Century Gothic" w:hAnsi="Century Gothic"/>
          <w:lang w:val="en-US"/>
        </w:rPr>
        <w:t>SENDhelp</w:t>
      </w:r>
      <w:proofErr w:type="spellEnd"/>
      <w:r w:rsidRPr="00475D84">
        <w:rPr>
          <w:rFonts w:ascii="Century Gothic" w:hAnsi="Century Gothic"/>
          <w:lang w:val="en-US"/>
        </w:rPr>
        <w:t xml:space="preserve"> will comply with the 2010 Race Relations Act.</w:t>
      </w:r>
    </w:p>
    <w:p w14:paraId="11D51CD5" w14:textId="77777777" w:rsidR="00965D88" w:rsidRPr="00475D84" w:rsidRDefault="00965D88">
      <w:pPr>
        <w:pStyle w:val="Body"/>
        <w:spacing w:before="100" w:after="0" w:line="240" w:lineRule="auto"/>
        <w:jc w:val="both"/>
        <w:rPr>
          <w:rFonts w:ascii="Century Gothic" w:eastAsia="Century Gothic" w:hAnsi="Century Gothic" w:cs="Century Gothic"/>
          <w:b/>
          <w:bCs/>
        </w:rPr>
      </w:pPr>
    </w:p>
    <w:p w14:paraId="5C9E4591" w14:textId="77777777" w:rsidR="00475D84" w:rsidRDefault="00475D84">
      <w:pPr>
        <w:pStyle w:val="Body"/>
        <w:spacing w:before="100" w:after="0" w:line="240" w:lineRule="auto"/>
        <w:jc w:val="both"/>
        <w:rPr>
          <w:rFonts w:ascii="Century Gothic" w:hAnsi="Century Gothic"/>
          <w:b/>
          <w:bCs/>
        </w:rPr>
      </w:pPr>
    </w:p>
    <w:p w14:paraId="265EB94C" w14:textId="77777777" w:rsidR="00475D84" w:rsidRDefault="00475D84">
      <w:pPr>
        <w:pStyle w:val="Body"/>
        <w:spacing w:before="100" w:after="0" w:line="240" w:lineRule="auto"/>
        <w:jc w:val="both"/>
        <w:rPr>
          <w:rFonts w:ascii="Century Gothic" w:hAnsi="Century Gothic"/>
          <w:b/>
          <w:bCs/>
        </w:rPr>
      </w:pPr>
    </w:p>
    <w:p w14:paraId="37BFDC77" w14:textId="3EDFAF8E" w:rsidR="00965D88" w:rsidRPr="00475D84" w:rsidRDefault="00000000">
      <w:pPr>
        <w:pStyle w:val="Body"/>
        <w:spacing w:before="100" w:after="0" w:line="240" w:lineRule="auto"/>
        <w:jc w:val="both"/>
        <w:rPr>
          <w:rFonts w:ascii="Century Gothic" w:eastAsia="Century Gothic" w:hAnsi="Century Gothic" w:cs="Century Gothic"/>
          <w:b/>
          <w:bCs/>
        </w:rPr>
      </w:pPr>
      <w:r w:rsidRPr="00475D84">
        <w:rPr>
          <w:rFonts w:ascii="Century Gothic" w:hAnsi="Century Gothic"/>
          <w:b/>
          <w:bCs/>
        </w:rPr>
        <w:lastRenderedPageBreak/>
        <w:t xml:space="preserve">Gender Reassignment </w:t>
      </w:r>
    </w:p>
    <w:p w14:paraId="567986D6" w14:textId="305FAC87" w:rsidR="00965D88" w:rsidRPr="00475D84" w:rsidRDefault="00000000">
      <w:pPr>
        <w:pStyle w:val="Body"/>
        <w:spacing w:before="100" w:after="0" w:line="240" w:lineRule="auto"/>
        <w:jc w:val="both"/>
        <w:rPr>
          <w:rFonts w:ascii="Century Gothic" w:eastAsia="Century Gothic" w:hAnsi="Century Gothic" w:cs="Century Gothic"/>
        </w:rPr>
      </w:pPr>
      <w:r w:rsidRPr="00475D84">
        <w:rPr>
          <w:rFonts w:ascii="Century Gothic" w:hAnsi="Century Gothic"/>
          <w:lang w:val="en-US"/>
        </w:rPr>
        <w:t xml:space="preserve">Transgender people will not be discriminated against whether they work for, or are engaging with </w:t>
      </w:r>
      <w:proofErr w:type="spellStart"/>
      <w:r w:rsidR="00475D84" w:rsidRPr="00475D84">
        <w:rPr>
          <w:rFonts w:ascii="Century Gothic" w:hAnsi="Century Gothic"/>
          <w:lang w:val="en-US"/>
        </w:rPr>
        <w:t>SENDhelp</w:t>
      </w:r>
      <w:proofErr w:type="spellEnd"/>
      <w:r w:rsidRPr="00475D84">
        <w:rPr>
          <w:rFonts w:ascii="Century Gothic" w:hAnsi="Century Gothic"/>
          <w:lang w:val="en-US"/>
        </w:rPr>
        <w:t xml:space="preserve">. This includes preoperative and postoperative Transgender people. </w:t>
      </w:r>
      <w:proofErr w:type="spellStart"/>
      <w:r w:rsidR="00475D84" w:rsidRPr="00475D84">
        <w:rPr>
          <w:rFonts w:ascii="Century Gothic" w:hAnsi="Century Gothic"/>
          <w:lang w:val="en-US"/>
        </w:rPr>
        <w:t>SENDhelp</w:t>
      </w:r>
      <w:proofErr w:type="spellEnd"/>
      <w:r w:rsidRPr="00475D84">
        <w:rPr>
          <w:rFonts w:ascii="Century Gothic" w:hAnsi="Century Gothic"/>
          <w:lang w:val="en-US"/>
        </w:rPr>
        <w:t xml:space="preserve"> will not dead name anybody, verbally or in written form, and people will be addressed by their preferred pronouns. </w:t>
      </w:r>
      <w:proofErr w:type="spellStart"/>
      <w:r w:rsidR="00475D84" w:rsidRPr="00475D84">
        <w:rPr>
          <w:rFonts w:ascii="Century Gothic" w:hAnsi="Century Gothic"/>
          <w:lang w:val="en-US"/>
        </w:rPr>
        <w:t>SENDhelp</w:t>
      </w:r>
      <w:proofErr w:type="spellEnd"/>
      <w:r w:rsidRPr="00475D84">
        <w:rPr>
          <w:rFonts w:ascii="Century Gothic" w:hAnsi="Century Gothic"/>
          <w:lang w:val="en-US"/>
        </w:rPr>
        <w:t xml:space="preserve"> will not treat Transgender employees less </w:t>
      </w:r>
      <w:proofErr w:type="spellStart"/>
      <w:r w:rsidRPr="00475D84">
        <w:rPr>
          <w:rFonts w:ascii="Century Gothic" w:hAnsi="Century Gothic"/>
          <w:lang w:val="en-US"/>
        </w:rPr>
        <w:t>favourably</w:t>
      </w:r>
      <w:proofErr w:type="spellEnd"/>
      <w:r w:rsidRPr="00475D84">
        <w:rPr>
          <w:rFonts w:ascii="Century Gothic" w:hAnsi="Century Gothic"/>
          <w:lang w:val="en-US"/>
        </w:rPr>
        <w:t xml:space="preserve"> if they are absent from work because they are undergoing gender reassignment. Transition is managed in the same way as all other health and wellbeing appointments and absences. </w:t>
      </w:r>
      <w:proofErr w:type="spellStart"/>
      <w:r w:rsidR="00475D84" w:rsidRPr="00475D84">
        <w:rPr>
          <w:rFonts w:ascii="Century Gothic" w:hAnsi="Century Gothic"/>
          <w:lang w:val="en-US"/>
        </w:rPr>
        <w:t>SENDhelp</w:t>
      </w:r>
      <w:proofErr w:type="spellEnd"/>
      <w:r w:rsidRPr="00475D84">
        <w:rPr>
          <w:rFonts w:ascii="Century Gothic" w:hAnsi="Century Gothic"/>
          <w:lang w:val="en-US"/>
        </w:rPr>
        <w:t xml:space="preserve"> will comply with all of the relevant legislation relating to gender reassignment including, but not exclusive to, the Gender Recognition Act 2004.</w:t>
      </w:r>
    </w:p>
    <w:p w14:paraId="0F36B622" w14:textId="77777777" w:rsidR="00965D88" w:rsidRPr="00475D84" w:rsidRDefault="00965D88">
      <w:pPr>
        <w:pStyle w:val="Body"/>
        <w:spacing w:before="100" w:after="0" w:line="240" w:lineRule="auto"/>
        <w:jc w:val="both"/>
        <w:rPr>
          <w:rFonts w:ascii="Century Gothic" w:eastAsia="Century Gothic" w:hAnsi="Century Gothic" w:cs="Century Gothic"/>
        </w:rPr>
      </w:pPr>
    </w:p>
    <w:p w14:paraId="40F5E987" w14:textId="77777777" w:rsidR="00965D88" w:rsidRPr="00475D84" w:rsidRDefault="00000000">
      <w:pPr>
        <w:pStyle w:val="Body"/>
        <w:spacing w:before="100" w:after="0" w:line="240" w:lineRule="auto"/>
        <w:jc w:val="both"/>
        <w:rPr>
          <w:rFonts w:ascii="Century Gothic" w:eastAsia="Century Gothic" w:hAnsi="Century Gothic" w:cs="Century Gothic"/>
          <w:b/>
          <w:bCs/>
        </w:rPr>
      </w:pPr>
      <w:r w:rsidRPr="00475D84">
        <w:rPr>
          <w:rFonts w:ascii="Century Gothic" w:hAnsi="Century Gothic"/>
          <w:b/>
          <w:bCs/>
          <w:lang w:val="en-US"/>
        </w:rPr>
        <w:t>Marriage and Civil Partnership Status</w:t>
      </w:r>
    </w:p>
    <w:p w14:paraId="350CBC35" w14:textId="50E318A9" w:rsidR="00965D88" w:rsidRPr="00475D84" w:rsidRDefault="00475D84">
      <w:pPr>
        <w:pStyle w:val="Body"/>
        <w:spacing w:before="100" w:after="0" w:line="240" w:lineRule="auto"/>
        <w:jc w:val="both"/>
        <w:rPr>
          <w:rFonts w:ascii="Century Gothic" w:eastAsia="Century Gothic" w:hAnsi="Century Gothic" w:cs="Century Gothic"/>
        </w:rPr>
      </w:pPr>
      <w:proofErr w:type="spellStart"/>
      <w:r w:rsidRPr="00475D84">
        <w:rPr>
          <w:rFonts w:ascii="Century Gothic" w:hAnsi="Century Gothic"/>
          <w:lang w:val="en-US"/>
        </w:rPr>
        <w:t>SENDhelp</w:t>
      </w:r>
      <w:proofErr w:type="spellEnd"/>
      <w:r w:rsidRPr="00475D84">
        <w:rPr>
          <w:rFonts w:ascii="Century Gothic" w:hAnsi="Century Gothic"/>
          <w:lang w:val="en-US"/>
        </w:rPr>
        <w:t xml:space="preserve"> will comply fully with the 2004 Civil Partnership Act. For employees, any benefits married people and their spouses are given will also be given to employees who are civil partners and to their civil partners. This includes survivor pensions, health insurance, flexible working, statutory maternity and paternity pay; maternity, paternity and adoption leave. </w:t>
      </w:r>
    </w:p>
    <w:p w14:paraId="449D00C4" w14:textId="77777777" w:rsidR="00965D88" w:rsidRPr="00475D84" w:rsidRDefault="00965D88">
      <w:pPr>
        <w:pStyle w:val="Body"/>
        <w:spacing w:before="100" w:after="0" w:line="240" w:lineRule="auto"/>
        <w:jc w:val="both"/>
        <w:rPr>
          <w:rFonts w:ascii="Century Gothic" w:eastAsia="Century Gothic" w:hAnsi="Century Gothic" w:cs="Century Gothic"/>
          <w:b/>
          <w:bCs/>
          <w:sz w:val="4"/>
          <w:szCs w:val="4"/>
        </w:rPr>
      </w:pPr>
    </w:p>
    <w:p w14:paraId="56332BEE" w14:textId="77777777" w:rsidR="00965D88" w:rsidRPr="00475D84" w:rsidRDefault="00000000">
      <w:pPr>
        <w:pStyle w:val="Body"/>
        <w:spacing w:before="100" w:after="0" w:line="240" w:lineRule="auto"/>
        <w:jc w:val="both"/>
        <w:rPr>
          <w:rFonts w:ascii="Century Gothic" w:eastAsia="Century Gothic" w:hAnsi="Century Gothic" w:cs="Century Gothic"/>
          <w:b/>
          <w:bCs/>
        </w:rPr>
      </w:pPr>
      <w:r w:rsidRPr="00475D84">
        <w:rPr>
          <w:rFonts w:ascii="Century Gothic" w:hAnsi="Century Gothic"/>
          <w:b/>
          <w:bCs/>
          <w:lang w:val="en-US"/>
        </w:rPr>
        <w:t>Pregnancy and Maternity Status</w:t>
      </w:r>
    </w:p>
    <w:p w14:paraId="0429234E" w14:textId="77777777" w:rsidR="00965D88" w:rsidRPr="00475D84" w:rsidRDefault="00000000">
      <w:pPr>
        <w:pStyle w:val="Body"/>
        <w:spacing w:before="100" w:after="0" w:line="240" w:lineRule="auto"/>
        <w:jc w:val="both"/>
        <w:rPr>
          <w:rFonts w:ascii="Century Gothic" w:eastAsia="Century Gothic" w:hAnsi="Century Gothic" w:cs="Century Gothic"/>
        </w:rPr>
      </w:pPr>
      <w:r w:rsidRPr="00475D84">
        <w:rPr>
          <w:rFonts w:ascii="Century Gothic" w:hAnsi="Century Gothic"/>
          <w:lang w:val="en-US"/>
        </w:rPr>
        <w:t xml:space="preserve">Halton and St Helens </w:t>
      </w:r>
      <w:proofErr w:type="gramStart"/>
      <w:r w:rsidRPr="00475D84">
        <w:rPr>
          <w:rFonts w:ascii="Century Gothic" w:hAnsi="Century Gothic"/>
          <w:lang w:val="en-US"/>
        </w:rPr>
        <w:t>VCA  has</w:t>
      </w:r>
      <w:proofErr w:type="gramEnd"/>
      <w:r w:rsidRPr="00475D84">
        <w:rPr>
          <w:rFonts w:ascii="Century Gothic" w:hAnsi="Century Gothic"/>
          <w:lang w:val="en-US"/>
        </w:rPr>
        <w:t xml:space="preserve"> a number of policies and procedures in place to ensure that employees are not treated less </w:t>
      </w:r>
      <w:proofErr w:type="spellStart"/>
      <w:r w:rsidRPr="00475D84">
        <w:rPr>
          <w:rFonts w:ascii="Century Gothic" w:hAnsi="Century Gothic"/>
          <w:lang w:val="en-US"/>
        </w:rPr>
        <w:t>favourably</w:t>
      </w:r>
      <w:proofErr w:type="spellEnd"/>
      <w:r w:rsidRPr="00475D84">
        <w:rPr>
          <w:rFonts w:ascii="Century Gothic" w:hAnsi="Century Gothic"/>
          <w:lang w:val="en-US"/>
        </w:rPr>
        <w:t xml:space="preserve"> if they are absent from work because they are pregnant, parents, undergoing fertility treatment or adopting. </w:t>
      </w:r>
    </w:p>
    <w:p w14:paraId="393C12A5" w14:textId="77777777" w:rsidR="00965D88" w:rsidRPr="00475D84" w:rsidRDefault="00965D88">
      <w:pPr>
        <w:pStyle w:val="Body"/>
        <w:spacing w:before="100" w:after="0" w:line="240" w:lineRule="auto"/>
        <w:jc w:val="both"/>
        <w:rPr>
          <w:rFonts w:ascii="Century Gothic" w:eastAsia="Century Gothic" w:hAnsi="Century Gothic" w:cs="Century Gothic"/>
          <w:sz w:val="12"/>
          <w:szCs w:val="12"/>
        </w:rPr>
      </w:pPr>
    </w:p>
    <w:p w14:paraId="50A41D55" w14:textId="77777777" w:rsidR="00965D88" w:rsidRPr="00475D84" w:rsidRDefault="00000000">
      <w:pPr>
        <w:pStyle w:val="Body"/>
        <w:spacing w:before="100" w:after="0" w:line="240" w:lineRule="auto"/>
        <w:jc w:val="both"/>
        <w:rPr>
          <w:rFonts w:ascii="Century Gothic" w:eastAsia="Century Gothic" w:hAnsi="Century Gothic" w:cs="Century Gothic"/>
          <w:b/>
          <w:bCs/>
        </w:rPr>
      </w:pPr>
      <w:r w:rsidRPr="00475D84">
        <w:rPr>
          <w:rFonts w:ascii="Century Gothic" w:hAnsi="Century Gothic"/>
          <w:b/>
          <w:bCs/>
          <w:lang w:val="en-US"/>
        </w:rPr>
        <w:t>Religion or Belief</w:t>
      </w:r>
    </w:p>
    <w:p w14:paraId="4306141B" w14:textId="38FE6E16" w:rsidR="00965D88" w:rsidRPr="00475D84" w:rsidRDefault="00475D84">
      <w:pPr>
        <w:pStyle w:val="Body"/>
        <w:spacing w:before="100" w:after="0" w:line="240" w:lineRule="auto"/>
        <w:jc w:val="both"/>
        <w:rPr>
          <w:rFonts w:ascii="Century Gothic" w:eastAsia="Century Gothic" w:hAnsi="Century Gothic" w:cs="Century Gothic"/>
        </w:rPr>
      </w:pPr>
      <w:proofErr w:type="spellStart"/>
      <w:r w:rsidRPr="00475D84">
        <w:rPr>
          <w:rFonts w:ascii="Century Gothic" w:hAnsi="Century Gothic"/>
          <w:lang w:val="en-US"/>
        </w:rPr>
        <w:t>SENDhelp</w:t>
      </w:r>
      <w:proofErr w:type="spellEnd"/>
      <w:r w:rsidRPr="00475D84">
        <w:rPr>
          <w:rFonts w:ascii="Century Gothic" w:hAnsi="Century Gothic"/>
          <w:lang w:val="en-US"/>
        </w:rPr>
        <w:t xml:space="preserve"> </w:t>
      </w:r>
      <w:proofErr w:type="spellStart"/>
      <w:r w:rsidRPr="00475D84">
        <w:rPr>
          <w:rFonts w:ascii="Century Gothic" w:hAnsi="Century Gothic"/>
          <w:lang w:val="en-US"/>
        </w:rPr>
        <w:t>recognises</w:t>
      </w:r>
      <w:proofErr w:type="spellEnd"/>
      <w:r w:rsidRPr="00475D84">
        <w:rPr>
          <w:rFonts w:ascii="Century Gothic" w:hAnsi="Century Gothic"/>
          <w:lang w:val="en-US"/>
        </w:rPr>
        <w:t xml:space="preserve"> that the United Kingdom is a multi-faith society, and aims to comply fully with all of the relevant legislation relating to religion and belief, including the Employment Equality (Religion or Belief) Regulations 2003.  All faiths are welcome at </w:t>
      </w:r>
      <w:proofErr w:type="spellStart"/>
      <w:r w:rsidRPr="00475D84">
        <w:rPr>
          <w:rFonts w:ascii="Century Gothic" w:hAnsi="Century Gothic"/>
          <w:lang w:val="en-US"/>
        </w:rPr>
        <w:t>SENDhelp</w:t>
      </w:r>
      <w:proofErr w:type="spellEnd"/>
      <w:r w:rsidRPr="00475D84">
        <w:rPr>
          <w:rFonts w:ascii="Century Gothic" w:hAnsi="Century Gothic"/>
          <w:lang w:val="en-US"/>
        </w:rPr>
        <w:t xml:space="preserve">. Nobody will receive less </w:t>
      </w:r>
      <w:proofErr w:type="spellStart"/>
      <w:r w:rsidRPr="00475D84">
        <w:rPr>
          <w:rFonts w:ascii="Century Gothic" w:hAnsi="Century Gothic"/>
          <w:lang w:val="en-US"/>
        </w:rPr>
        <w:t>favourable</w:t>
      </w:r>
      <w:proofErr w:type="spellEnd"/>
      <w:r w:rsidRPr="00475D84">
        <w:rPr>
          <w:rFonts w:ascii="Century Gothic" w:hAnsi="Century Gothic"/>
          <w:lang w:val="en-US"/>
        </w:rPr>
        <w:t xml:space="preserve"> treatment as a result of their religion or belief, or be disadvantaged by unjustifiable provisions, criteria or practices. </w:t>
      </w:r>
    </w:p>
    <w:p w14:paraId="5B3E1B8F" w14:textId="77777777" w:rsidR="00965D88" w:rsidRPr="00475D84" w:rsidRDefault="00000000">
      <w:pPr>
        <w:pStyle w:val="Body"/>
        <w:spacing w:before="100" w:after="0" w:line="240" w:lineRule="auto"/>
        <w:jc w:val="both"/>
        <w:rPr>
          <w:rFonts w:ascii="Century Gothic" w:eastAsia="Century Gothic" w:hAnsi="Century Gothic" w:cs="Century Gothic"/>
          <w:b/>
          <w:bCs/>
        </w:rPr>
      </w:pPr>
      <w:proofErr w:type="spellStart"/>
      <w:r w:rsidRPr="00475D84">
        <w:rPr>
          <w:rFonts w:ascii="Century Gothic" w:hAnsi="Century Gothic"/>
          <w:b/>
          <w:bCs/>
          <w:lang w:val="fr-FR"/>
        </w:rPr>
        <w:t>Sex</w:t>
      </w:r>
      <w:proofErr w:type="spellEnd"/>
      <w:r w:rsidRPr="00475D84">
        <w:rPr>
          <w:rFonts w:ascii="Century Gothic" w:hAnsi="Century Gothic"/>
          <w:b/>
          <w:bCs/>
          <w:lang w:val="fr-FR"/>
        </w:rPr>
        <w:t xml:space="preserve"> </w:t>
      </w:r>
    </w:p>
    <w:p w14:paraId="78B42F49" w14:textId="6E9C3153" w:rsidR="00965D88" w:rsidRPr="00475D84" w:rsidRDefault="00475D84">
      <w:pPr>
        <w:pStyle w:val="Body"/>
        <w:spacing w:before="100" w:after="0" w:line="240" w:lineRule="auto"/>
        <w:jc w:val="both"/>
        <w:rPr>
          <w:rFonts w:ascii="Century Gothic" w:eastAsia="Century Gothic" w:hAnsi="Century Gothic" w:cs="Century Gothic"/>
        </w:rPr>
      </w:pPr>
      <w:proofErr w:type="spellStart"/>
      <w:r w:rsidRPr="00475D84">
        <w:rPr>
          <w:rFonts w:ascii="Century Gothic" w:hAnsi="Century Gothic"/>
          <w:lang w:val="en-US"/>
        </w:rPr>
        <w:t>SENDhelp</w:t>
      </w:r>
      <w:proofErr w:type="spellEnd"/>
      <w:r w:rsidRPr="00475D84">
        <w:rPr>
          <w:rFonts w:ascii="Century Gothic" w:hAnsi="Century Gothic"/>
          <w:lang w:val="en-US"/>
        </w:rPr>
        <w:t xml:space="preserve"> believes that everybody deserves to be treated fairly irrespective of their sex. </w:t>
      </w:r>
      <w:proofErr w:type="spellStart"/>
      <w:r w:rsidRPr="00475D84">
        <w:rPr>
          <w:rFonts w:ascii="Century Gothic" w:hAnsi="Century Gothic"/>
          <w:lang w:val="en-US"/>
        </w:rPr>
        <w:t>SENDhelp</w:t>
      </w:r>
      <w:proofErr w:type="spellEnd"/>
      <w:r w:rsidRPr="00475D84">
        <w:rPr>
          <w:rFonts w:ascii="Century Gothic" w:hAnsi="Century Gothic"/>
          <w:lang w:val="en-US"/>
        </w:rPr>
        <w:t xml:space="preserve"> will comply with all of the relevant legislation relating to gender including, but not exclusive to the Sex Discrimination Act 1999, the Equal Pay Act 1983, the Sex Discrimination (Gender Reassignment) Regulations 1999, the Gender Recognition Act 2004 and all amendments thereof.  </w:t>
      </w:r>
    </w:p>
    <w:p w14:paraId="33870AC4" w14:textId="77777777" w:rsidR="00965D88" w:rsidRPr="00475D84" w:rsidRDefault="00000000">
      <w:pPr>
        <w:pStyle w:val="Body"/>
        <w:spacing w:before="100" w:after="0" w:line="240" w:lineRule="auto"/>
        <w:jc w:val="both"/>
        <w:rPr>
          <w:rFonts w:ascii="Century Gothic" w:eastAsia="Century Gothic" w:hAnsi="Century Gothic" w:cs="Century Gothic"/>
        </w:rPr>
      </w:pPr>
      <w:r w:rsidRPr="00475D84">
        <w:rPr>
          <w:rFonts w:ascii="Century Gothic" w:hAnsi="Century Gothic"/>
        </w:rPr>
        <w:t xml:space="preserve">   </w:t>
      </w:r>
    </w:p>
    <w:p w14:paraId="5EB4D5CC" w14:textId="77777777" w:rsidR="00965D88" w:rsidRPr="00475D84" w:rsidRDefault="00000000">
      <w:pPr>
        <w:pStyle w:val="Body"/>
        <w:spacing w:before="100" w:after="0" w:line="240" w:lineRule="auto"/>
        <w:jc w:val="both"/>
        <w:rPr>
          <w:rFonts w:ascii="Century Gothic" w:eastAsia="Century Gothic" w:hAnsi="Century Gothic" w:cs="Century Gothic"/>
          <w:b/>
          <w:bCs/>
        </w:rPr>
      </w:pPr>
      <w:r w:rsidRPr="00475D84">
        <w:rPr>
          <w:rFonts w:ascii="Century Gothic" w:hAnsi="Century Gothic"/>
          <w:b/>
          <w:bCs/>
          <w:lang w:val="en-US"/>
        </w:rPr>
        <w:t xml:space="preserve">Sexual Orientation </w:t>
      </w:r>
    </w:p>
    <w:p w14:paraId="5A7ACFB8" w14:textId="6CDF7665" w:rsidR="00965D88" w:rsidRPr="00475D84" w:rsidRDefault="00000000">
      <w:pPr>
        <w:pStyle w:val="Body"/>
        <w:spacing w:before="100" w:after="0" w:line="240" w:lineRule="auto"/>
        <w:jc w:val="both"/>
        <w:rPr>
          <w:rFonts w:ascii="Century Gothic" w:eastAsia="Century Gothic" w:hAnsi="Century Gothic" w:cs="Century Gothic"/>
        </w:rPr>
      </w:pPr>
      <w:r w:rsidRPr="00475D84">
        <w:rPr>
          <w:rFonts w:ascii="Century Gothic" w:hAnsi="Century Gothic"/>
          <w:lang w:val="en-US"/>
        </w:rPr>
        <w:t xml:space="preserve">People of all sexual orientations are welcome, respected, and safe at </w:t>
      </w:r>
      <w:proofErr w:type="spellStart"/>
      <w:r w:rsidR="00475D84" w:rsidRPr="00475D84">
        <w:rPr>
          <w:rFonts w:ascii="Century Gothic" w:hAnsi="Century Gothic"/>
          <w:lang w:val="en-US"/>
        </w:rPr>
        <w:t>SENDhelp</w:t>
      </w:r>
      <w:proofErr w:type="spellEnd"/>
      <w:r w:rsidRPr="00475D84">
        <w:rPr>
          <w:rFonts w:ascii="Century Gothic" w:hAnsi="Century Gothic"/>
          <w:lang w:val="en-US"/>
        </w:rPr>
        <w:t xml:space="preserve">. Nobody will receive less </w:t>
      </w:r>
      <w:proofErr w:type="spellStart"/>
      <w:r w:rsidRPr="00475D84">
        <w:rPr>
          <w:rFonts w:ascii="Century Gothic" w:hAnsi="Century Gothic"/>
          <w:lang w:val="en-US"/>
        </w:rPr>
        <w:t>favourable</w:t>
      </w:r>
      <w:proofErr w:type="spellEnd"/>
      <w:r w:rsidRPr="00475D84">
        <w:rPr>
          <w:rFonts w:ascii="Century Gothic" w:hAnsi="Century Gothic"/>
          <w:lang w:val="en-US"/>
        </w:rPr>
        <w:t xml:space="preserve"> treatment as a result of their sexual orientation, or be disadvantaged by unjustifiable provisions, criteria or practices.</w:t>
      </w:r>
    </w:p>
    <w:p w14:paraId="347FB32A" w14:textId="77777777" w:rsidR="00965D88" w:rsidRPr="00475D84" w:rsidRDefault="00000000">
      <w:pPr>
        <w:pStyle w:val="Body"/>
        <w:spacing w:before="100" w:after="0" w:line="240" w:lineRule="auto"/>
        <w:ind w:left="17"/>
        <w:jc w:val="both"/>
        <w:rPr>
          <w:rFonts w:ascii="Century Gothic" w:eastAsia="Century Gothic" w:hAnsi="Century Gothic" w:cs="Century Gothic"/>
        </w:rPr>
      </w:pPr>
      <w:r w:rsidRPr="00475D84">
        <w:rPr>
          <w:rFonts w:ascii="Century Gothic" w:hAnsi="Century Gothic"/>
        </w:rPr>
        <w:t xml:space="preserve"> </w:t>
      </w:r>
    </w:p>
    <w:p w14:paraId="22092CA0" w14:textId="77777777" w:rsidR="00965D88" w:rsidRPr="00475D84" w:rsidRDefault="00000000">
      <w:pPr>
        <w:pStyle w:val="Body"/>
        <w:spacing w:after="0" w:line="240" w:lineRule="auto"/>
        <w:rPr>
          <w:rFonts w:ascii="Century Gothic" w:eastAsia="Century Gothic" w:hAnsi="Century Gothic" w:cs="Century Gothic"/>
          <w:b/>
          <w:bCs/>
        </w:rPr>
      </w:pPr>
      <w:r w:rsidRPr="00475D84">
        <w:rPr>
          <w:rFonts w:ascii="Century Gothic" w:hAnsi="Century Gothic"/>
          <w:b/>
          <w:bCs/>
        </w:rPr>
        <w:t>DUE REGARD</w:t>
      </w:r>
    </w:p>
    <w:p w14:paraId="5501ABD9" w14:textId="77777777" w:rsidR="00965D88" w:rsidRPr="00475D84" w:rsidRDefault="00965D88">
      <w:pPr>
        <w:pStyle w:val="Body"/>
        <w:spacing w:after="0" w:line="240" w:lineRule="auto"/>
        <w:rPr>
          <w:rFonts w:ascii="Century Gothic" w:eastAsia="Century Gothic" w:hAnsi="Century Gothic" w:cs="Century Gothic"/>
          <w:b/>
          <w:bCs/>
        </w:rPr>
      </w:pPr>
    </w:p>
    <w:p w14:paraId="3C2A86BD" w14:textId="1CFA517F" w:rsidR="00965D88" w:rsidRPr="00475D84" w:rsidRDefault="00475D84">
      <w:pPr>
        <w:pStyle w:val="Body"/>
        <w:jc w:val="both"/>
        <w:rPr>
          <w:rFonts w:ascii="Century Gothic" w:eastAsia="Century Gothic" w:hAnsi="Century Gothic" w:cs="Century Gothic"/>
          <w:b/>
          <w:bCs/>
        </w:rPr>
      </w:pPr>
      <w:proofErr w:type="spellStart"/>
      <w:r w:rsidRPr="00475D84">
        <w:rPr>
          <w:rFonts w:ascii="Century Gothic" w:hAnsi="Century Gothic"/>
          <w:lang w:val="en-US"/>
        </w:rPr>
        <w:t>SENDhelp</w:t>
      </w:r>
      <w:proofErr w:type="spellEnd"/>
      <w:r w:rsidRPr="00475D84">
        <w:rPr>
          <w:rFonts w:ascii="Century Gothic" w:hAnsi="Century Gothic"/>
          <w:lang w:val="en-US"/>
        </w:rPr>
        <w:t xml:space="preserve"> will demonstrate</w:t>
      </w:r>
      <w:r w:rsidRPr="00475D84">
        <w:rPr>
          <w:rFonts w:ascii="Century Gothic" w:hAnsi="Century Gothic"/>
          <w:b/>
          <w:bCs/>
        </w:rPr>
        <w:t xml:space="preserve"> </w:t>
      </w:r>
      <w:r w:rsidRPr="00475D84">
        <w:rPr>
          <w:rFonts w:ascii="Century Gothic" w:hAnsi="Century Gothic"/>
          <w:lang w:val="en-US"/>
        </w:rPr>
        <w:t>due regard for the equality duties detailed within the 2010 Equality Act. Typically, this means,</w:t>
      </w:r>
    </w:p>
    <w:p w14:paraId="467FD182" w14:textId="77777777" w:rsidR="00965D88" w:rsidRPr="00475D84" w:rsidRDefault="00000000">
      <w:pPr>
        <w:pStyle w:val="Body"/>
        <w:numPr>
          <w:ilvl w:val="0"/>
          <w:numId w:val="6"/>
        </w:numPr>
        <w:spacing w:after="0" w:line="240" w:lineRule="auto"/>
        <w:jc w:val="both"/>
        <w:rPr>
          <w:rFonts w:ascii="Century Gothic" w:hAnsi="Century Gothic"/>
          <w:lang w:val="en-US"/>
        </w:rPr>
      </w:pPr>
      <w:r w:rsidRPr="00475D84">
        <w:rPr>
          <w:rFonts w:ascii="Century Gothic" w:hAnsi="Century Gothic"/>
          <w:lang w:val="en-US"/>
        </w:rPr>
        <w:lastRenderedPageBreak/>
        <w:t xml:space="preserve">Eliminating unlawful discrimination, harassment, </w:t>
      </w:r>
      <w:proofErr w:type="spellStart"/>
      <w:r w:rsidRPr="00475D84">
        <w:rPr>
          <w:rFonts w:ascii="Century Gothic" w:hAnsi="Century Gothic"/>
          <w:lang w:val="en-US"/>
        </w:rPr>
        <w:t>victimisation</w:t>
      </w:r>
      <w:proofErr w:type="spellEnd"/>
      <w:r w:rsidRPr="00475D84">
        <w:rPr>
          <w:rFonts w:ascii="Century Gothic" w:hAnsi="Century Gothic"/>
          <w:lang w:val="en-US"/>
        </w:rPr>
        <w:t xml:space="preserve"> and any other conduct prohibited by the Act</w:t>
      </w:r>
    </w:p>
    <w:p w14:paraId="309541B1" w14:textId="77777777" w:rsidR="00965D88" w:rsidRPr="00475D84" w:rsidRDefault="00000000">
      <w:pPr>
        <w:pStyle w:val="Body"/>
        <w:numPr>
          <w:ilvl w:val="0"/>
          <w:numId w:val="6"/>
        </w:numPr>
        <w:spacing w:after="0" w:line="240" w:lineRule="auto"/>
        <w:jc w:val="both"/>
        <w:rPr>
          <w:rFonts w:ascii="Century Gothic" w:hAnsi="Century Gothic"/>
          <w:lang w:val="en-US"/>
        </w:rPr>
      </w:pPr>
      <w:r w:rsidRPr="00475D84">
        <w:rPr>
          <w:rFonts w:ascii="Century Gothic" w:hAnsi="Century Gothic"/>
          <w:lang w:val="en-US"/>
        </w:rPr>
        <w:t>Advancing equality of opportunity between people who share a protected characteristic and people who do not share it</w:t>
      </w:r>
    </w:p>
    <w:p w14:paraId="6905F87E" w14:textId="77777777" w:rsidR="00965D88" w:rsidRPr="00475D84" w:rsidRDefault="00000000">
      <w:pPr>
        <w:pStyle w:val="Body"/>
        <w:numPr>
          <w:ilvl w:val="0"/>
          <w:numId w:val="6"/>
        </w:numPr>
        <w:spacing w:after="0" w:line="240" w:lineRule="auto"/>
        <w:jc w:val="both"/>
        <w:rPr>
          <w:rFonts w:ascii="Century Gothic" w:hAnsi="Century Gothic"/>
          <w:lang w:val="en-US"/>
        </w:rPr>
      </w:pPr>
      <w:r w:rsidRPr="00475D84">
        <w:rPr>
          <w:rFonts w:ascii="Century Gothic" w:hAnsi="Century Gothic"/>
          <w:lang w:val="en-US"/>
        </w:rPr>
        <w:t>Fostering good relations between people who share a protected characteristic and people who do not share it</w:t>
      </w:r>
    </w:p>
    <w:p w14:paraId="251AE7C5" w14:textId="77777777" w:rsidR="00965D88" w:rsidRPr="00475D84" w:rsidRDefault="00965D88">
      <w:pPr>
        <w:pStyle w:val="Body"/>
        <w:spacing w:after="0" w:line="240" w:lineRule="auto"/>
        <w:rPr>
          <w:rFonts w:ascii="Century Gothic" w:eastAsia="Times New Roman" w:hAnsi="Century Gothic" w:cs="Times New Roman"/>
          <w:sz w:val="24"/>
          <w:szCs w:val="24"/>
        </w:rPr>
      </w:pPr>
    </w:p>
    <w:p w14:paraId="143A3CEC" w14:textId="77777777" w:rsidR="00965D88" w:rsidRPr="00475D84" w:rsidRDefault="00965D88">
      <w:pPr>
        <w:pStyle w:val="Body"/>
        <w:spacing w:after="0" w:line="240" w:lineRule="auto"/>
        <w:rPr>
          <w:rFonts w:ascii="Century Gothic" w:eastAsia="Times New Roman" w:hAnsi="Century Gothic" w:cs="Times New Roman"/>
          <w:sz w:val="24"/>
          <w:szCs w:val="24"/>
        </w:rPr>
      </w:pPr>
    </w:p>
    <w:p w14:paraId="193FE0BC" w14:textId="77777777" w:rsidR="00965D88" w:rsidRPr="00475D84" w:rsidRDefault="00000000">
      <w:pPr>
        <w:pStyle w:val="Body"/>
        <w:jc w:val="both"/>
        <w:rPr>
          <w:rFonts w:ascii="Century Gothic" w:eastAsia="Century Gothic" w:hAnsi="Century Gothic" w:cs="Century Gothic"/>
          <w:b/>
          <w:bCs/>
        </w:rPr>
      </w:pPr>
      <w:r w:rsidRPr="00475D84">
        <w:rPr>
          <w:rFonts w:ascii="Century Gothic" w:hAnsi="Century Gothic"/>
          <w:b/>
          <w:bCs/>
        </w:rPr>
        <w:t>LEGISLATIVE FRAMEWORK</w:t>
      </w:r>
    </w:p>
    <w:p w14:paraId="429D4C36" w14:textId="77777777" w:rsidR="00965D88" w:rsidRPr="00475D84" w:rsidRDefault="00000000">
      <w:pPr>
        <w:pStyle w:val="Body"/>
        <w:spacing w:after="0" w:line="240" w:lineRule="auto"/>
        <w:rPr>
          <w:rFonts w:ascii="Century Gothic" w:eastAsia="Century Gothic" w:hAnsi="Century Gothic" w:cs="Century Gothic"/>
        </w:rPr>
      </w:pPr>
      <w:r w:rsidRPr="00475D84">
        <w:rPr>
          <w:rFonts w:ascii="Century Gothic" w:hAnsi="Century Gothic"/>
          <w:lang w:val="en-US"/>
        </w:rPr>
        <w:t>This policy is underpinned by all relevant legislation, including</w:t>
      </w:r>
    </w:p>
    <w:p w14:paraId="27818B23" w14:textId="77777777" w:rsidR="00965D88" w:rsidRPr="00475D84" w:rsidRDefault="00965D88">
      <w:pPr>
        <w:pStyle w:val="Body"/>
        <w:jc w:val="both"/>
        <w:rPr>
          <w:rFonts w:ascii="Century Gothic" w:eastAsia="Century Gothic" w:hAnsi="Century Gothic" w:cs="Century Gothic"/>
        </w:rPr>
      </w:pPr>
    </w:p>
    <w:p w14:paraId="2FC37730" w14:textId="77777777" w:rsidR="00965D88" w:rsidRPr="00475D84" w:rsidRDefault="00000000">
      <w:pPr>
        <w:pStyle w:val="Body"/>
        <w:numPr>
          <w:ilvl w:val="0"/>
          <w:numId w:val="8"/>
        </w:numPr>
        <w:spacing w:after="0" w:line="240" w:lineRule="auto"/>
        <w:jc w:val="both"/>
        <w:rPr>
          <w:rFonts w:ascii="Century Gothic" w:hAnsi="Century Gothic"/>
          <w:lang w:val="en-US"/>
        </w:rPr>
      </w:pPr>
      <w:r w:rsidRPr="00475D84">
        <w:rPr>
          <w:rFonts w:ascii="Century Gothic" w:hAnsi="Century Gothic"/>
          <w:lang w:val="en-US"/>
        </w:rPr>
        <w:t>Data Protection Act (2018)</w:t>
      </w:r>
    </w:p>
    <w:p w14:paraId="78C02C20" w14:textId="77777777" w:rsidR="00965D88" w:rsidRPr="00475D84" w:rsidRDefault="00000000">
      <w:pPr>
        <w:pStyle w:val="Body"/>
        <w:numPr>
          <w:ilvl w:val="0"/>
          <w:numId w:val="8"/>
        </w:numPr>
        <w:spacing w:after="0" w:line="240" w:lineRule="auto"/>
        <w:jc w:val="both"/>
        <w:rPr>
          <w:rFonts w:ascii="Century Gothic" w:hAnsi="Century Gothic"/>
          <w:lang w:val="it-IT"/>
        </w:rPr>
      </w:pPr>
      <w:r w:rsidRPr="00475D84">
        <w:rPr>
          <w:rFonts w:ascii="Century Gothic" w:hAnsi="Century Gothic"/>
          <w:lang w:val="it-IT"/>
        </w:rPr>
        <w:t>Care Act (2014)</w:t>
      </w:r>
    </w:p>
    <w:p w14:paraId="7F69B099" w14:textId="77777777" w:rsidR="00965D88" w:rsidRPr="00475D84" w:rsidRDefault="00000000">
      <w:pPr>
        <w:pStyle w:val="Body"/>
        <w:numPr>
          <w:ilvl w:val="0"/>
          <w:numId w:val="8"/>
        </w:numPr>
        <w:spacing w:after="0" w:line="240" w:lineRule="auto"/>
        <w:jc w:val="both"/>
        <w:rPr>
          <w:rFonts w:ascii="Century Gothic" w:hAnsi="Century Gothic"/>
          <w:lang w:val="en-US"/>
        </w:rPr>
      </w:pPr>
      <w:r w:rsidRPr="00475D84">
        <w:rPr>
          <w:rFonts w:ascii="Century Gothic" w:hAnsi="Century Gothic"/>
          <w:lang w:val="en-US"/>
        </w:rPr>
        <w:t>Health and Social Care Act (2012)</w:t>
      </w:r>
    </w:p>
    <w:p w14:paraId="14A8C9DB" w14:textId="77777777" w:rsidR="00965D88" w:rsidRPr="00475D84" w:rsidRDefault="00000000">
      <w:pPr>
        <w:pStyle w:val="Body"/>
        <w:numPr>
          <w:ilvl w:val="0"/>
          <w:numId w:val="8"/>
        </w:numPr>
        <w:spacing w:after="0" w:line="240" w:lineRule="auto"/>
        <w:jc w:val="both"/>
        <w:rPr>
          <w:rFonts w:ascii="Century Gothic" w:hAnsi="Century Gothic"/>
          <w:lang w:val="en-US"/>
        </w:rPr>
      </w:pPr>
      <w:r w:rsidRPr="00475D84">
        <w:rPr>
          <w:rFonts w:ascii="Century Gothic" w:hAnsi="Century Gothic"/>
          <w:color w:val="222222"/>
          <w:u w:color="222222"/>
          <w:lang w:val="en-US"/>
        </w:rPr>
        <w:t>The Equality Act 2010 (Specific Duties) Regulations (2011)</w:t>
      </w:r>
    </w:p>
    <w:p w14:paraId="2A549C2B" w14:textId="77777777" w:rsidR="00965D88" w:rsidRPr="00475D84" w:rsidRDefault="00000000">
      <w:pPr>
        <w:pStyle w:val="Body"/>
        <w:numPr>
          <w:ilvl w:val="0"/>
          <w:numId w:val="8"/>
        </w:numPr>
        <w:spacing w:after="0" w:line="240" w:lineRule="auto"/>
        <w:jc w:val="both"/>
        <w:rPr>
          <w:rFonts w:ascii="Century Gothic" w:hAnsi="Century Gothic"/>
          <w:lang w:val="en-US"/>
        </w:rPr>
      </w:pPr>
      <w:r w:rsidRPr="00475D84">
        <w:rPr>
          <w:rFonts w:ascii="Century Gothic" w:hAnsi="Century Gothic"/>
          <w:lang w:val="en-US"/>
        </w:rPr>
        <w:t>Equality Act (2010)</w:t>
      </w:r>
    </w:p>
    <w:p w14:paraId="0AF7EDA6" w14:textId="77777777" w:rsidR="00965D88" w:rsidRPr="00475D84" w:rsidRDefault="00000000">
      <w:pPr>
        <w:pStyle w:val="Body"/>
        <w:numPr>
          <w:ilvl w:val="0"/>
          <w:numId w:val="8"/>
        </w:numPr>
        <w:spacing w:after="0" w:line="240" w:lineRule="auto"/>
        <w:jc w:val="both"/>
        <w:rPr>
          <w:rFonts w:ascii="Century Gothic" w:hAnsi="Century Gothic"/>
          <w:lang w:val="en-US"/>
        </w:rPr>
      </w:pPr>
      <w:r w:rsidRPr="00475D84">
        <w:rPr>
          <w:rFonts w:ascii="Century Gothic" w:hAnsi="Century Gothic"/>
          <w:lang w:val="en-US"/>
        </w:rPr>
        <w:t>Race Relations Act (1976, 2000 and 2010)</w:t>
      </w:r>
    </w:p>
    <w:p w14:paraId="6464AC7B" w14:textId="77777777" w:rsidR="00965D88" w:rsidRPr="00475D84" w:rsidRDefault="00000000">
      <w:pPr>
        <w:pStyle w:val="Body"/>
        <w:numPr>
          <w:ilvl w:val="0"/>
          <w:numId w:val="8"/>
        </w:numPr>
        <w:spacing w:after="0" w:line="240" w:lineRule="auto"/>
        <w:jc w:val="both"/>
        <w:rPr>
          <w:rFonts w:ascii="Century Gothic" w:hAnsi="Century Gothic"/>
          <w:lang w:val="en-US"/>
        </w:rPr>
      </w:pPr>
      <w:r w:rsidRPr="00475D84">
        <w:rPr>
          <w:rFonts w:ascii="Century Gothic" w:hAnsi="Century Gothic"/>
          <w:lang w:val="en-US"/>
        </w:rPr>
        <w:t>Employment Act (2003, 2008)</w:t>
      </w:r>
    </w:p>
    <w:p w14:paraId="0539C6D9" w14:textId="77777777" w:rsidR="00965D88" w:rsidRPr="00475D84" w:rsidRDefault="00000000">
      <w:pPr>
        <w:pStyle w:val="Body"/>
        <w:numPr>
          <w:ilvl w:val="0"/>
          <w:numId w:val="8"/>
        </w:numPr>
        <w:spacing w:after="0" w:line="240" w:lineRule="auto"/>
        <w:jc w:val="both"/>
        <w:rPr>
          <w:rFonts w:ascii="Century Gothic" w:hAnsi="Century Gothic"/>
          <w:lang w:val="en-US"/>
        </w:rPr>
      </w:pPr>
      <w:r w:rsidRPr="00475D84">
        <w:rPr>
          <w:rFonts w:ascii="Century Gothic" w:hAnsi="Century Gothic"/>
          <w:lang w:val="en-US"/>
        </w:rPr>
        <w:t>Work and Families Act (2006)</w:t>
      </w:r>
    </w:p>
    <w:p w14:paraId="148E3658" w14:textId="77777777" w:rsidR="00965D88" w:rsidRPr="00475D84" w:rsidRDefault="00000000">
      <w:pPr>
        <w:pStyle w:val="Body"/>
        <w:numPr>
          <w:ilvl w:val="0"/>
          <w:numId w:val="8"/>
        </w:numPr>
        <w:spacing w:after="0" w:line="240" w:lineRule="auto"/>
        <w:jc w:val="both"/>
        <w:rPr>
          <w:rFonts w:ascii="Century Gothic" w:hAnsi="Century Gothic"/>
          <w:lang w:val="en-US"/>
        </w:rPr>
      </w:pPr>
      <w:r w:rsidRPr="00475D84">
        <w:rPr>
          <w:rFonts w:ascii="Century Gothic" w:hAnsi="Century Gothic"/>
          <w:lang w:val="en-US"/>
        </w:rPr>
        <w:t>EU Employment Directive (2006) (Age)</w:t>
      </w:r>
    </w:p>
    <w:p w14:paraId="2EC79AB2" w14:textId="77777777" w:rsidR="00965D88" w:rsidRPr="00475D84" w:rsidRDefault="00000000">
      <w:pPr>
        <w:pStyle w:val="Body"/>
        <w:numPr>
          <w:ilvl w:val="0"/>
          <w:numId w:val="8"/>
        </w:numPr>
        <w:spacing w:after="0" w:line="240" w:lineRule="auto"/>
        <w:jc w:val="both"/>
        <w:rPr>
          <w:rFonts w:ascii="Century Gothic" w:hAnsi="Century Gothic"/>
          <w:lang w:val="en-US"/>
        </w:rPr>
      </w:pPr>
      <w:r w:rsidRPr="00475D84">
        <w:rPr>
          <w:rFonts w:ascii="Century Gothic" w:hAnsi="Century Gothic"/>
          <w:lang w:val="en-US"/>
        </w:rPr>
        <w:t>Disability Discrimination Act (1995 and 2005)</w:t>
      </w:r>
    </w:p>
    <w:p w14:paraId="3A867881" w14:textId="77777777" w:rsidR="00965D88" w:rsidRPr="00475D84" w:rsidRDefault="00000000">
      <w:pPr>
        <w:pStyle w:val="Body"/>
        <w:numPr>
          <w:ilvl w:val="0"/>
          <w:numId w:val="8"/>
        </w:numPr>
        <w:spacing w:after="0" w:line="240" w:lineRule="auto"/>
        <w:jc w:val="both"/>
        <w:rPr>
          <w:rFonts w:ascii="Century Gothic" w:hAnsi="Century Gothic"/>
          <w:lang w:val="en-US"/>
        </w:rPr>
      </w:pPr>
      <w:r w:rsidRPr="00475D84">
        <w:rPr>
          <w:rFonts w:ascii="Century Gothic" w:hAnsi="Century Gothic"/>
          <w:lang w:val="en-US"/>
        </w:rPr>
        <w:t>Civil Partnership Act (2004)</w:t>
      </w:r>
    </w:p>
    <w:p w14:paraId="53C9BE89" w14:textId="77777777" w:rsidR="00965D88" w:rsidRPr="00475D84" w:rsidRDefault="00000000">
      <w:pPr>
        <w:pStyle w:val="Body"/>
        <w:numPr>
          <w:ilvl w:val="0"/>
          <w:numId w:val="8"/>
        </w:numPr>
        <w:spacing w:after="0" w:line="240" w:lineRule="auto"/>
        <w:jc w:val="both"/>
        <w:rPr>
          <w:rFonts w:ascii="Century Gothic" w:hAnsi="Century Gothic"/>
          <w:lang w:val="en-US"/>
        </w:rPr>
      </w:pPr>
      <w:r w:rsidRPr="00475D84">
        <w:rPr>
          <w:rFonts w:ascii="Century Gothic" w:hAnsi="Century Gothic"/>
          <w:lang w:val="en-US"/>
        </w:rPr>
        <w:t>Gender Recognition Act (2004)</w:t>
      </w:r>
    </w:p>
    <w:p w14:paraId="7D9F6728" w14:textId="77777777" w:rsidR="00965D88" w:rsidRPr="00475D84" w:rsidRDefault="00000000">
      <w:pPr>
        <w:pStyle w:val="Body"/>
        <w:numPr>
          <w:ilvl w:val="0"/>
          <w:numId w:val="8"/>
        </w:numPr>
        <w:spacing w:after="0" w:line="240" w:lineRule="auto"/>
        <w:jc w:val="both"/>
        <w:rPr>
          <w:rFonts w:ascii="Century Gothic" w:hAnsi="Century Gothic"/>
          <w:lang w:val="en-US"/>
        </w:rPr>
      </w:pPr>
      <w:r w:rsidRPr="00475D84">
        <w:rPr>
          <w:rFonts w:ascii="Century Gothic" w:hAnsi="Century Gothic"/>
          <w:lang w:val="en-US"/>
        </w:rPr>
        <w:t>EU Employment Directive (2003) (Religion and Sexuality)</w:t>
      </w:r>
    </w:p>
    <w:p w14:paraId="67455E1E" w14:textId="77777777" w:rsidR="00965D88" w:rsidRPr="00475D84" w:rsidRDefault="00000000">
      <w:pPr>
        <w:pStyle w:val="Body"/>
        <w:numPr>
          <w:ilvl w:val="0"/>
          <w:numId w:val="8"/>
        </w:numPr>
        <w:spacing w:after="0" w:line="240" w:lineRule="auto"/>
        <w:jc w:val="both"/>
        <w:rPr>
          <w:rFonts w:ascii="Century Gothic" w:hAnsi="Century Gothic"/>
          <w:lang w:val="fr-FR"/>
        </w:rPr>
      </w:pPr>
      <w:proofErr w:type="spellStart"/>
      <w:r w:rsidRPr="00475D84">
        <w:rPr>
          <w:rFonts w:ascii="Century Gothic" w:hAnsi="Century Gothic"/>
          <w:lang w:val="fr-FR"/>
        </w:rPr>
        <w:t>Sex</w:t>
      </w:r>
      <w:proofErr w:type="spellEnd"/>
      <w:r w:rsidRPr="00475D84">
        <w:rPr>
          <w:rFonts w:ascii="Century Gothic" w:hAnsi="Century Gothic"/>
          <w:lang w:val="fr-FR"/>
        </w:rPr>
        <w:t xml:space="preserve"> Discrimination </w:t>
      </w:r>
      <w:proofErr w:type="spellStart"/>
      <w:r w:rsidRPr="00475D84">
        <w:rPr>
          <w:rFonts w:ascii="Century Gothic" w:hAnsi="Century Gothic"/>
          <w:lang w:val="fr-FR"/>
        </w:rPr>
        <w:t>Act</w:t>
      </w:r>
      <w:proofErr w:type="spellEnd"/>
      <w:r w:rsidRPr="00475D84">
        <w:rPr>
          <w:rFonts w:ascii="Century Gothic" w:hAnsi="Century Gothic"/>
          <w:lang w:val="fr-FR"/>
        </w:rPr>
        <w:t xml:space="preserve"> (1999)</w:t>
      </w:r>
    </w:p>
    <w:p w14:paraId="6B389703" w14:textId="77777777" w:rsidR="00965D88" w:rsidRPr="00475D84" w:rsidRDefault="00000000">
      <w:pPr>
        <w:pStyle w:val="Body"/>
        <w:numPr>
          <w:ilvl w:val="0"/>
          <w:numId w:val="8"/>
        </w:numPr>
        <w:spacing w:after="0" w:line="240" w:lineRule="auto"/>
        <w:jc w:val="both"/>
        <w:rPr>
          <w:rFonts w:ascii="Century Gothic" w:hAnsi="Century Gothic"/>
          <w:lang w:val="en-US"/>
        </w:rPr>
      </w:pPr>
      <w:r w:rsidRPr="00475D84">
        <w:rPr>
          <w:rFonts w:ascii="Century Gothic" w:hAnsi="Century Gothic"/>
          <w:lang w:val="en-US"/>
        </w:rPr>
        <w:t>Human Rights Act (1998)</w:t>
      </w:r>
    </w:p>
    <w:p w14:paraId="7506406D" w14:textId="77777777" w:rsidR="00965D88" w:rsidRPr="00475D84" w:rsidRDefault="00000000">
      <w:pPr>
        <w:pStyle w:val="Body"/>
        <w:numPr>
          <w:ilvl w:val="0"/>
          <w:numId w:val="8"/>
        </w:numPr>
        <w:spacing w:after="0" w:line="240" w:lineRule="auto"/>
        <w:jc w:val="both"/>
        <w:rPr>
          <w:rFonts w:ascii="Century Gothic" w:hAnsi="Century Gothic"/>
          <w:lang w:val="pt-PT"/>
        </w:rPr>
      </w:pPr>
      <w:r w:rsidRPr="00475D84">
        <w:rPr>
          <w:rFonts w:ascii="Century Gothic" w:hAnsi="Century Gothic"/>
          <w:lang w:val="pt-PT"/>
        </w:rPr>
        <w:t>Equal Pay Act (1983)</w:t>
      </w:r>
    </w:p>
    <w:p w14:paraId="0BE29CFF" w14:textId="77777777" w:rsidR="00965D88" w:rsidRPr="00475D84" w:rsidRDefault="00000000">
      <w:pPr>
        <w:pStyle w:val="Body"/>
        <w:numPr>
          <w:ilvl w:val="0"/>
          <w:numId w:val="8"/>
        </w:numPr>
        <w:spacing w:after="0" w:line="240" w:lineRule="auto"/>
        <w:jc w:val="both"/>
        <w:rPr>
          <w:rFonts w:ascii="Century Gothic" w:hAnsi="Century Gothic"/>
          <w:lang w:val="en-US"/>
        </w:rPr>
      </w:pPr>
      <w:r w:rsidRPr="00475D84">
        <w:rPr>
          <w:rFonts w:ascii="Century Gothic" w:hAnsi="Century Gothic"/>
          <w:lang w:val="en-US"/>
        </w:rPr>
        <w:t>Health and Safety at Work Act (1974)</w:t>
      </w:r>
    </w:p>
    <w:p w14:paraId="0FAD9ECF" w14:textId="77777777" w:rsidR="00965D88" w:rsidRPr="00475D84" w:rsidRDefault="00965D88">
      <w:pPr>
        <w:pStyle w:val="Body"/>
        <w:spacing w:after="0" w:line="240" w:lineRule="auto"/>
        <w:ind w:left="720"/>
        <w:jc w:val="both"/>
        <w:rPr>
          <w:rFonts w:ascii="Century Gothic" w:eastAsia="Century Gothic" w:hAnsi="Century Gothic" w:cs="Century Gothic"/>
        </w:rPr>
      </w:pPr>
    </w:p>
    <w:p w14:paraId="12B21935" w14:textId="77777777" w:rsidR="00965D88" w:rsidRPr="00475D84" w:rsidRDefault="00965D88">
      <w:pPr>
        <w:pStyle w:val="Body"/>
        <w:spacing w:after="0" w:line="240" w:lineRule="auto"/>
        <w:rPr>
          <w:rFonts w:ascii="Century Gothic" w:eastAsia="Century Gothic" w:hAnsi="Century Gothic" w:cs="Century Gothic"/>
          <w:b/>
          <w:bCs/>
        </w:rPr>
      </w:pPr>
    </w:p>
    <w:p w14:paraId="557DCDF6" w14:textId="77777777" w:rsidR="00965D88" w:rsidRPr="00475D84" w:rsidRDefault="00965D88">
      <w:pPr>
        <w:pStyle w:val="Body"/>
        <w:spacing w:after="0" w:line="240" w:lineRule="auto"/>
        <w:rPr>
          <w:rFonts w:ascii="Century Gothic" w:eastAsia="Century Gothic" w:hAnsi="Century Gothic" w:cs="Century Gothic"/>
          <w:b/>
          <w:bCs/>
        </w:rPr>
      </w:pPr>
    </w:p>
    <w:p w14:paraId="565329B0" w14:textId="77777777" w:rsidR="00965D88" w:rsidRPr="00475D84" w:rsidRDefault="00965D88">
      <w:pPr>
        <w:pStyle w:val="Body"/>
        <w:rPr>
          <w:rFonts w:ascii="Century Gothic" w:eastAsia="Century Gothic" w:hAnsi="Century Gothic" w:cs="Century Gothic"/>
          <w:b/>
          <w:bCs/>
        </w:rPr>
      </w:pPr>
    </w:p>
    <w:p w14:paraId="4F731E2D" w14:textId="77777777" w:rsidR="00965D88" w:rsidRPr="00475D84" w:rsidRDefault="00965D88">
      <w:pPr>
        <w:pStyle w:val="Body"/>
        <w:rPr>
          <w:rFonts w:ascii="Century Gothic" w:eastAsia="Century Gothic" w:hAnsi="Century Gothic" w:cs="Century Gothic"/>
          <w:b/>
          <w:bCs/>
        </w:rPr>
      </w:pPr>
    </w:p>
    <w:p w14:paraId="0E598B01" w14:textId="77777777" w:rsidR="00965D88" w:rsidRPr="00475D84" w:rsidRDefault="00965D88">
      <w:pPr>
        <w:pStyle w:val="Body"/>
        <w:rPr>
          <w:rFonts w:ascii="Century Gothic" w:eastAsia="Century Gothic" w:hAnsi="Century Gothic" w:cs="Century Gothic"/>
        </w:rPr>
      </w:pPr>
    </w:p>
    <w:p w14:paraId="1C3652FF" w14:textId="77777777" w:rsidR="00965D88" w:rsidRPr="00475D84" w:rsidRDefault="00965D88">
      <w:pPr>
        <w:pStyle w:val="Body"/>
        <w:rPr>
          <w:rFonts w:ascii="Century Gothic" w:eastAsia="Century Gothic" w:hAnsi="Century Gothic" w:cs="Century Gothic"/>
        </w:rPr>
      </w:pPr>
    </w:p>
    <w:p w14:paraId="6B1ACBDD" w14:textId="77777777" w:rsidR="00965D88" w:rsidRPr="00475D84" w:rsidRDefault="00965D88">
      <w:pPr>
        <w:pStyle w:val="Body"/>
        <w:rPr>
          <w:rFonts w:ascii="Century Gothic" w:eastAsia="Century Gothic" w:hAnsi="Century Gothic" w:cs="Century Gothic"/>
        </w:rPr>
      </w:pPr>
    </w:p>
    <w:p w14:paraId="7E0BC535" w14:textId="77777777" w:rsidR="00965D88" w:rsidRPr="00475D84" w:rsidRDefault="00965D88">
      <w:pPr>
        <w:pStyle w:val="Body"/>
        <w:rPr>
          <w:rFonts w:ascii="Century Gothic" w:eastAsia="Century Gothic" w:hAnsi="Century Gothic" w:cs="Century Gothic"/>
        </w:rPr>
      </w:pPr>
    </w:p>
    <w:p w14:paraId="2499800F" w14:textId="77777777" w:rsidR="00965D88" w:rsidRPr="00475D84" w:rsidRDefault="00965D88">
      <w:pPr>
        <w:pStyle w:val="Body"/>
        <w:rPr>
          <w:rFonts w:ascii="Century Gothic" w:eastAsia="Century Gothic" w:hAnsi="Century Gothic" w:cs="Century Gothic"/>
        </w:rPr>
      </w:pPr>
    </w:p>
    <w:p w14:paraId="2FD29864" w14:textId="77777777" w:rsidR="00965D88" w:rsidRPr="00475D84" w:rsidRDefault="00965D88">
      <w:pPr>
        <w:pStyle w:val="Body"/>
        <w:rPr>
          <w:rFonts w:ascii="Century Gothic" w:eastAsia="Century Gothic" w:hAnsi="Century Gothic" w:cs="Century Gothic"/>
        </w:rPr>
      </w:pPr>
    </w:p>
    <w:p w14:paraId="3D2CFF1B" w14:textId="77777777" w:rsidR="00965D88" w:rsidRPr="00475D84" w:rsidRDefault="00965D88">
      <w:pPr>
        <w:pStyle w:val="Body"/>
        <w:rPr>
          <w:rFonts w:ascii="Century Gothic" w:eastAsia="Century Gothic" w:hAnsi="Century Gothic" w:cs="Century Gothic"/>
        </w:rPr>
      </w:pPr>
    </w:p>
    <w:p w14:paraId="0243934B" w14:textId="77777777" w:rsidR="00965D88" w:rsidRPr="00475D84" w:rsidRDefault="00965D88">
      <w:pPr>
        <w:pStyle w:val="Body"/>
        <w:rPr>
          <w:rFonts w:ascii="Century Gothic" w:eastAsia="Century Gothic" w:hAnsi="Century Gothic" w:cs="Century Gothic"/>
        </w:rPr>
      </w:pPr>
    </w:p>
    <w:p w14:paraId="7576479C" w14:textId="77777777" w:rsidR="00965D88" w:rsidRPr="00475D84" w:rsidRDefault="00965D88">
      <w:pPr>
        <w:pStyle w:val="Body"/>
        <w:rPr>
          <w:rFonts w:ascii="Century Gothic" w:eastAsia="Century Gothic" w:hAnsi="Century Gothic" w:cs="Century Gothic"/>
        </w:rPr>
      </w:pPr>
    </w:p>
    <w:p w14:paraId="47B53822" w14:textId="77777777" w:rsidR="00965D88" w:rsidRPr="00475D84" w:rsidRDefault="00000000">
      <w:pPr>
        <w:pStyle w:val="Body"/>
        <w:spacing w:after="0" w:line="240" w:lineRule="auto"/>
        <w:rPr>
          <w:rFonts w:ascii="Century Gothic" w:eastAsia="Century Gothic" w:hAnsi="Century Gothic" w:cs="Century Gothic"/>
          <w:b/>
          <w:bCs/>
        </w:rPr>
      </w:pPr>
      <w:r w:rsidRPr="00475D84">
        <w:rPr>
          <w:rFonts w:ascii="Century Gothic" w:hAnsi="Century Gothic"/>
          <w:b/>
          <w:bCs/>
          <w:lang w:val="en-US"/>
        </w:rPr>
        <w:lastRenderedPageBreak/>
        <w:t xml:space="preserve">EQUALITY IMPACT ASSESSMENT </w:t>
      </w:r>
    </w:p>
    <w:p w14:paraId="0E374C71" w14:textId="77777777" w:rsidR="00965D88" w:rsidRPr="00475D84" w:rsidRDefault="00965D88">
      <w:pPr>
        <w:pStyle w:val="Body"/>
        <w:spacing w:after="0" w:line="240" w:lineRule="auto"/>
        <w:rPr>
          <w:rFonts w:ascii="Century Gothic" w:eastAsia="Times New Roman" w:hAnsi="Century Gothic" w:cs="Times New Roman"/>
        </w:rPr>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3"/>
        <w:gridCol w:w="567"/>
        <w:gridCol w:w="4822"/>
        <w:gridCol w:w="658"/>
      </w:tblGrid>
      <w:tr w:rsidR="00965D88" w:rsidRPr="00475D84" w14:paraId="0CD36312" w14:textId="77777777">
        <w:trPr>
          <w:trHeight w:val="549"/>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7A7C4797" w14:textId="77777777" w:rsidR="00965D88" w:rsidRPr="00475D84" w:rsidRDefault="00000000">
            <w:pPr>
              <w:pStyle w:val="Body"/>
              <w:rPr>
                <w:rFonts w:ascii="Century Gothic" w:hAnsi="Century Gothic"/>
              </w:rPr>
            </w:pPr>
            <w:r w:rsidRPr="00475D84">
              <w:rPr>
                <w:rFonts w:ascii="Century Gothic" w:hAnsi="Century Gothic"/>
                <w:b/>
                <w:bCs/>
                <w:sz w:val="20"/>
                <w:szCs w:val="20"/>
                <w:lang w:val="en-US"/>
              </w:rPr>
              <w:t xml:space="preserve">Is the policy new </w:t>
            </w:r>
            <w:r w:rsidRPr="00475D84">
              <w:rPr>
                <w:rFonts w:ascii="Segoe UI Symbol" w:eastAsia="MS Gothic" w:hAnsi="Segoe UI Symbol" w:cs="Segoe UI Symbol"/>
                <w:b/>
                <w:bCs/>
                <w:sz w:val="20"/>
                <w:szCs w:val="20"/>
                <w:lang w:val="en-US"/>
              </w:rPr>
              <w:t>☒</w:t>
            </w:r>
            <w:r w:rsidRPr="00475D84">
              <w:rPr>
                <w:rFonts w:ascii="Century Gothic" w:hAnsi="Century Gothic"/>
                <w:b/>
                <w:bCs/>
                <w:lang w:val="en-US"/>
              </w:rPr>
              <w:t xml:space="preserve"> </w:t>
            </w:r>
            <w:r w:rsidRPr="00475D84">
              <w:rPr>
                <w:rFonts w:ascii="Century Gothic" w:hAnsi="Century Gothic"/>
                <w:b/>
                <w:bCs/>
                <w:sz w:val="20"/>
                <w:szCs w:val="20"/>
                <w:lang w:val="en-US"/>
              </w:rPr>
              <w:t xml:space="preserve">or a review </w:t>
            </w:r>
            <w:proofErr w:type="gramStart"/>
            <w:r w:rsidRPr="00475D84">
              <w:rPr>
                <w:rFonts w:ascii="Segoe UI Symbol" w:eastAsia="MS Gothic" w:hAnsi="Segoe UI Symbol" w:cs="Segoe UI Symbol"/>
                <w:b/>
                <w:bCs/>
                <w:sz w:val="20"/>
                <w:szCs w:val="20"/>
                <w:lang w:val="en-US"/>
              </w:rPr>
              <w:t>☐</w:t>
            </w:r>
            <w:r w:rsidRPr="00475D84">
              <w:rPr>
                <w:rFonts w:ascii="Century Gothic" w:hAnsi="Century Gothic"/>
                <w:b/>
                <w:bCs/>
                <w:lang w:val="en-US"/>
              </w:rPr>
              <w:t xml:space="preserve"> </w:t>
            </w:r>
            <w:r w:rsidRPr="00475D84">
              <w:rPr>
                <w:rFonts w:ascii="Century Gothic" w:hAnsi="Century Gothic"/>
                <w:b/>
                <w:bCs/>
                <w:sz w:val="20"/>
                <w:szCs w:val="20"/>
                <w:lang w:val="en-US"/>
              </w:rPr>
              <w:t>?</w:t>
            </w:r>
            <w:proofErr w:type="gramEnd"/>
            <w:r w:rsidRPr="00475D84">
              <w:rPr>
                <w:rFonts w:ascii="Century Gothic" w:hAnsi="Century Gothic"/>
                <w:b/>
                <w:bCs/>
                <w:sz w:val="20"/>
                <w:szCs w:val="20"/>
                <w:lang w:val="en-US"/>
              </w:rPr>
              <w:t xml:space="preserve"> </w:t>
            </w:r>
            <w:r w:rsidRPr="00475D84">
              <w:rPr>
                <w:rFonts w:ascii="Century Gothic" w:hAnsi="Century Gothic"/>
                <w:sz w:val="20"/>
                <w:szCs w:val="20"/>
                <w:lang w:val="en-US"/>
              </w:rPr>
              <w:t>(New policies should be considered by at least two people prior to ratification in relation to equality impact)</w:t>
            </w:r>
          </w:p>
        </w:tc>
      </w:tr>
      <w:tr w:rsidR="00965D88" w:rsidRPr="00475D84" w14:paraId="37CDB4A5" w14:textId="77777777">
        <w:trPr>
          <w:trHeight w:val="730"/>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248C5CB8" w14:textId="77777777" w:rsidR="00965D88" w:rsidRPr="00475D84" w:rsidRDefault="00000000">
            <w:pPr>
              <w:pStyle w:val="Body"/>
              <w:spacing w:after="0" w:line="240" w:lineRule="auto"/>
              <w:rPr>
                <w:rFonts w:ascii="Century Gothic" w:hAnsi="Century Gothic"/>
              </w:rPr>
            </w:pPr>
            <w:r w:rsidRPr="00475D84">
              <w:rPr>
                <w:rFonts w:ascii="Century Gothic" w:hAnsi="Century Gothic"/>
                <w:b/>
                <w:bCs/>
                <w:sz w:val="20"/>
                <w:szCs w:val="20"/>
                <w:lang w:val="en-US"/>
              </w:rPr>
              <w:t xml:space="preserve">Assessment: </w:t>
            </w:r>
            <w:r w:rsidRPr="00475D84">
              <w:rPr>
                <w:rFonts w:ascii="Century Gothic" w:hAnsi="Century Gothic"/>
                <w:sz w:val="20"/>
                <w:szCs w:val="20"/>
                <w:lang w:val="en-US"/>
              </w:rPr>
              <w:t>Could the implementation of this policy have a disproportionate negative impact upon people with a protected characteristic? If yes, tick the relevant protected characteristic and give details.</w:t>
            </w:r>
          </w:p>
        </w:tc>
      </w:tr>
      <w:tr w:rsidR="00965D88" w:rsidRPr="00475D84" w14:paraId="62BBF615" w14:textId="77777777">
        <w:trPr>
          <w:trHeight w:val="73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97E173" w14:textId="77777777" w:rsidR="00965D88" w:rsidRPr="00475D84" w:rsidRDefault="00000000">
            <w:pPr>
              <w:pStyle w:val="Body"/>
              <w:spacing w:after="0" w:line="240" w:lineRule="auto"/>
              <w:rPr>
                <w:rFonts w:ascii="Century Gothic" w:hAnsi="Century Gothic"/>
              </w:rPr>
            </w:pPr>
            <w:r w:rsidRPr="00475D84">
              <w:rPr>
                <w:rFonts w:ascii="Century Gothic" w:hAnsi="Century Gothic"/>
                <w:sz w:val="20"/>
                <w:szCs w:val="20"/>
                <w:lang w:val="en-US"/>
              </w:rPr>
              <w:t>Disability (physical, sensory, learning, hidden, mental ill health)</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B0EBDF" w14:textId="77777777" w:rsidR="00965D88" w:rsidRPr="00475D84" w:rsidRDefault="00000000">
            <w:pPr>
              <w:pStyle w:val="Body"/>
              <w:spacing w:after="0" w:line="240" w:lineRule="auto"/>
              <w:jc w:val="center"/>
              <w:rPr>
                <w:rFonts w:ascii="Century Gothic" w:hAnsi="Century Gothic"/>
              </w:rPr>
            </w:pPr>
            <w:r w:rsidRPr="00475D84">
              <w:rPr>
                <w:rFonts w:ascii="Segoe UI Symbol" w:eastAsia="MS Gothic" w:hAnsi="Segoe UI Symbol" w:cs="Segoe UI Symbol"/>
                <w:sz w:val="20"/>
                <w:szCs w:val="20"/>
                <w:lang w:val="en-US"/>
              </w:rPr>
              <w:t>☐</w:t>
            </w:r>
          </w:p>
        </w:tc>
        <w:tc>
          <w:tcPr>
            <w:tcW w:w="5479"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557D7C" w14:textId="2D9AC8F8" w:rsidR="00965D88" w:rsidRPr="00475D84" w:rsidRDefault="00475D84">
            <w:pPr>
              <w:pStyle w:val="Body"/>
              <w:spacing w:after="0" w:line="240" w:lineRule="auto"/>
              <w:jc w:val="both"/>
              <w:rPr>
                <w:rFonts w:ascii="Century Gothic" w:hAnsi="Century Gothic"/>
              </w:rPr>
            </w:pPr>
            <w:proofErr w:type="spellStart"/>
            <w:r w:rsidRPr="00475D84">
              <w:rPr>
                <w:rFonts w:ascii="Century Gothic" w:hAnsi="Century Gothic"/>
                <w:sz w:val="20"/>
                <w:szCs w:val="20"/>
                <w:lang w:val="en-US"/>
              </w:rPr>
              <w:t>SENDhelp</w:t>
            </w:r>
            <w:proofErr w:type="spellEnd"/>
            <w:r w:rsidRPr="00475D84">
              <w:rPr>
                <w:rFonts w:ascii="Century Gothic" w:hAnsi="Century Gothic"/>
                <w:sz w:val="20"/>
                <w:szCs w:val="20"/>
                <w:lang w:val="en-US"/>
              </w:rPr>
              <w:t xml:space="preserve"> is committed to the principles contained within the 2010 Equality Act and as part of that commitment each of our policies is subject to an Equality Impact Assessment. The implementation of this policy does not appear to have a negative impact upon any individual or group. If any core changes are made to this policy, this will be reviewed by at least two people.</w:t>
            </w:r>
          </w:p>
        </w:tc>
      </w:tr>
      <w:tr w:rsidR="00965D88" w:rsidRPr="00475D84" w14:paraId="69231BF9"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C7405" w14:textId="77777777" w:rsidR="00965D88" w:rsidRPr="00475D84" w:rsidRDefault="00000000">
            <w:pPr>
              <w:pStyle w:val="Body"/>
              <w:spacing w:after="0" w:line="240" w:lineRule="auto"/>
              <w:rPr>
                <w:rFonts w:ascii="Century Gothic" w:hAnsi="Century Gothic"/>
              </w:rPr>
            </w:pPr>
            <w:r w:rsidRPr="00475D84">
              <w:rPr>
                <w:rFonts w:ascii="Century Gothic" w:hAnsi="Century Gothic"/>
                <w:sz w:val="20"/>
                <w:szCs w:val="20"/>
                <w:lang w:val="en-US"/>
              </w:rPr>
              <w:t>Gender Reassignment</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5BCF57" w14:textId="77777777" w:rsidR="00965D88" w:rsidRPr="00475D84" w:rsidRDefault="00000000">
            <w:pPr>
              <w:pStyle w:val="Body"/>
              <w:spacing w:after="0" w:line="240" w:lineRule="auto"/>
              <w:jc w:val="center"/>
              <w:rPr>
                <w:rFonts w:ascii="Century Gothic" w:hAnsi="Century Gothic"/>
              </w:rPr>
            </w:pPr>
            <w:r w:rsidRPr="00475D84">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082E0930" w14:textId="77777777" w:rsidR="00965D88" w:rsidRPr="00475D84" w:rsidRDefault="00965D88">
            <w:pPr>
              <w:rPr>
                <w:rFonts w:ascii="Century Gothic" w:hAnsi="Century Gothic"/>
              </w:rPr>
            </w:pPr>
          </w:p>
        </w:tc>
      </w:tr>
      <w:tr w:rsidR="00965D88" w:rsidRPr="00475D84" w14:paraId="6D4A491B"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51FBD" w14:textId="77777777" w:rsidR="00965D88" w:rsidRPr="00475D84" w:rsidRDefault="00000000">
            <w:pPr>
              <w:pStyle w:val="Body"/>
              <w:spacing w:after="0" w:line="240" w:lineRule="auto"/>
              <w:rPr>
                <w:rFonts w:ascii="Century Gothic" w:hAnsi="Century Gothic"/>
              </w:rPr>
            </w:pPr>
            <w:r w:rsidRPr="00475D84">
              <w:rPr>
                <w:rFonts w:ascii="Century Gothic" w:hAnsi="Century Gothic"/>
                <w:sz w:val="20"/>
                <w:szCs w:val="20"/>
                <w:lang w:val="en-US"/>
              </w:rPr>
              <w:t>Marriage/Civil Partnership</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CF47F1" w14:textId="77777777" w:rsidR="00965D88" w:rsidRPr="00475D84" w:rsidRDefault="00000000">
            <w:pPr>
              <w:pStyle w:val="Body"/>
              <w:spacing w:after="0" w:line="240" w:lineRule="auto"/>
              <w:jc w:val="center"/>
              <w:rPr>
                <w:rFonts w:ascii="Century Gothic" w:hAnsi="Century Gothic"/>
              </w:rPr>
            </w:pPr>
            <w:r w:rsidRPr="00475D84">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7B079774" w14:textId="77777777" w:rsidR="00965D88" w:rsidRPr="00475D84" w:rsidRDefault="00965D88">
            <w:pPr>
              <w:rPr>
                <w:rFonts w:ascii="Century Gothic" w:hAnsi="Century Gothic"/>
              </w:rPr>
            </w:pPr>
          </w:p>
        </w:tc>
      </w:tr>
      <w:tr w:rsidR="00965D88" w:rsidRPr="00475D84" w14:paraId="4E894A5D"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37656" w14:textId="77777777" w:rsidR="00965D88" w:rsidRPr="00475D84" w:rsidRDefault="00000000">
            <w:pPr>
              <w:pStyle w:val="Body"/>
              <w:spacing w:after="0" w:line="240" w:lineRule="auto"/>
              <w:rPr>
                <w:rFonts w:ascii="Century Gothic" w:hAnsi="Century Gothic"/>
              </w:rPr>
            </w:pPr>
            <w:r w:rsidRPr="00475D84">
              <w:rPr>
                <w:rFonts w:ascii="Century Gothic" w:hAnsi="Century Gothic"/>
                <w:sz w:val="20"/>
                <w:szCs w:val="20"/>
                <w:lang w:val="en-US"/>
              </w:rPr>
              <w:t>Pregnancy/Maternity</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F9FE1" w14:textId="77777777" w:rsidR="00965D88" w:rsidRPr="00475D84" w:rsidRDefault="00000000">
            <w:pPr>
              <w:pStyle w:val="Body"/>
              <w:spacing w:after="0" w:line="240" w:lineRule="auto"/>
              <w:jc w:val="center"/>
              <w:rPr>
                <w:rFonts w:ascii="Century Gothic" w:hAnsi="Century Gothic"/>
              </w:rPr>
            </w:pPr>
            <w:r w:rsidRPr="00475D84">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2DE53E06" w14:textId="77777777" w:rsidR="00965D88" w:rsidRPr="00475D84" w:rsidRDefault="00965D88">
            <w:pPr>
              <w:rPr>
                <w:rFonts w:ascii="Century Gothic" w:hAnsi="Century Gothic"/>
              </w:rPr>
            </w:pPr>
          </w:p>
        </w:tc>
      </w:tr>
      <w:tr w:rsidR="00965D88" w:rsidRPr="00475D84" w14:paraId="3523472F"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F6B7FE" w14:textId="77777777" w:rsidR="00965D88" w:rsidRPr="00475D84" w:rsidRDefault="00000000">
            <w:pPr>
              <w:pStyle w:val="Body"/>
              <w:spacing w:after="0" w:line="240" w:lineRule="auto"/>
              <w:rPr>
                <w:rFonts w:ascii="Century Gothic" w:hAnsi="Century Gothic"/>
              </w:rPr>
            </w:pPr>
            <w:r w:rsidRPr="00475D84">
              <w:rPr>
                <w:rFonts w:ascii="Century Gothic" w:hAnsi="Century Gothic"/>
                <w:sz w:val="20"/>
                <w:szCs w:val="20"/>
                <w:lang w:val="en-US"/>
              </w:rPr>
              <w:t>Race</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D3576" w14:textId="77777777" w:rsidR="00965D88" w:rsidRPr="00475D84" w:rsidRDefault="00000000">
            <w:pPr>
              <w:pStyle w:val="Body"/>
              <w:spacing w:after="0" w:line="240" w:lineRule="auto"/>
              <w:jc w:val="center"/>
              <w:rPr>
                <w:rFonts w:ascii="Century Gothic" w:hAnsi="Century Gothic"/>
              </w:rPr>
            </w:pPr>
            <w:r w:rsidRPr="00475D84">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4EF8AD75" w14:textId="77777777" w:rsidR="00965D88" w:rsidRPr="00475D84" w:rsidRDefault="00965D88">
            <w:pPr>
              <w:rPr>
                <w:rFonts w:ascii="Century Gothic" w:hAnsi="Century Gothic"/>
              </w:rPr>
            </w:pPr>
          </w:p>
        </w:tc>
      </w:tr>
      <w:tr w:rsidR="00965D88" w:rsidRPr="00475D84" w14:paraId="1D3D15D8"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6E9C36" w14:textId="77777777" w:rsidR="00965D88" w:rsidRPr="00475D84" w:rsidRDefault="00000000">
            <w:pPr>
              <w:pStyle w:val="Body"/>
              <w:spacing w:after="0" w:line="240" w:lineRule="auto"/>
              <w:rPr>
                <w:rFonts w:ascii="Century Gothic" w:hAnsi="Century Gothic"/>
              </w:rPr>
            </w:pPr>
            <w:r w:rsidRPr="00475D84">
              <w:rPr>
                <w:rFonts w:ascii="Century Gothic" w:hAnsi="Century Gothic"/>
                <w:sz w:val="20"/>
                <w:szCs w:val="20"/>
                <w:lang w:val="en-US"/>
              </w:rPr>
              <w:t>Religion/Belief</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B77B2" w14:textId="77777777" w:rsidR="00965D88" w:rsidRPr="00475D84" w:rsidRDefault="00000000">
            <w:pPr>
              <w:pStyle w:val="Body"/>
              <w:spacing w:after="0" w:line="240" w:lineRule="auto"/>
              <w:jc w:val="center"/>
              <w:rPr>
                <w:rFonts w:ascii="Century Gothic" w:hAnsi="Century Gothic"/>
              </w:rPr>
            </w:pPr>
            <w:r w:rsidRPr="00475D84">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78DBA45A" w14:textId="77777777" w:rsidR="00965D88" w:rsidRPr="00475D84" w:rsidRDefault="00965D88">
            <w:pPr>
              <w:rPr>
                <w:rFonts w:ascii="Century Gothic" w:hAnsi="Century Gothic"/>
              </w:rPr>
            </w:pPr>
          </w:p>
        </w:tc>
      </w:tr>
      <w:tr w:rsidR="00965D88" w:rsidRPr="00475D84" w14:paraId="697F7B07"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7BD0C4" w14:textId="77777777" w:rsidR="00965D88" w:rsidRPr="00475D84" w:rsidRDefault="00000000">
            <w:pPr>
              <w:pStyle w:val="Body"/>
              <w:spacing w:after="0" w:line="240" w:lineRule="auto"/>
              <w:rPr>
                <w:rFonts w:ascii="Century Gothic" w:hAnsi="Century Gothic"/>
              </w:rPr>
            </w:pPr>
            <w:r w:rsidRPr="00475D84">
              <w:rPr>
                <w:rFonts w:ascii="Century Gothic" w:hAnsi="Century Gothic"/>
                <w:sz w:val="20"/>
                <w:szCs w:val="20"/>
                <w:lang w:val="en-US"/>
              </w:rPr>
              <w:t>Sex</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04CC1D" w14:textId="77777777" w:rsidR="00965D88" w:rsidRPr="00475D84" w:rsidRDefault="00000000">
            <w:pPr>
              <w:pStyle w:val="Body"/>
              <w:spacing w:after="0" w:line="240" w:lineRule="auto"/>
              <w:jc w:val="center"/>
              <w:rPr>
                <w:rFonts w:ascii="Century Gothic" w:hAnsi="Century Gothic"/>
              </w:rPr>
            </w:pPr>
            <w:r w:rsidRPr="00475D84">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1B17575E" w14:textId="77777777" w:rsidR="00965D88" w:rsidRPr="00475D84" w:rsidRDefault="00965D88">
            <w:pPr>
              <w:rPr>
                <w:rFonts w:ascii="Century Gothic" w:hAnsi="Century Gothic"/>
              </w:rPr>
            </w:pPr>
          </w:p>
        </w:tc>
      </w:tr>
      <w:tr w:rsidR="00965D88" w:rsidRPr="00475D84" w14:paraId="24AD60A8"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F9921" w14:textId="77777777" w:rsidR="00965D88" w:rsidRPr="00475D84" w:rsidRDefault="00000000">
            <w:pPr>
              <w:pStyle w:val="Body"/>
              <w:spacing w:after="0" w:line="240" w:lineRule="auto"/>
              <w:rPr>
                <w:rFonts w:ascii="Century Gothic" w:hAnsi="Century Gothic"/>
              </w:rPr>
            </w:pPr>
            <w:r w:rsidRPr="00475D84">
              <w:rPr>
                <w:rFonts w:ascii="Century Gothic" w:hAnsi="Century Gothic"/>
                <w:sz w:val="20"/>
                <w:szCs w:val="20"/>
                <w:lang w:val="en-US"/>
              </w:rPr>
              <w:t xml:space="preserve">Sexual Orientation </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25BCF" w14:textId="77777777" w:rsidR="00965D88" w:rsidRPr="00475D84" w:rsidRDefault="00000000">
            <w:pPr>
              <w:pStyle w:val="Body"/>
              <w:spacing w:after="0" w:line="240" w:lineRule="auto"/>
              <w:jc w:val="center"/>
              <w:rPr>
                <w:rFonts w:ascii="Century Gothic" w:hAnsi="Century Gothic"/>
              </w:rPr>
            </w:pPr>
            <w:r w:rsidRPr="00475D84">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3648DF5A" w14:textId="77777777" w:rsidR="00965D88" w:rsidRPr="00475D84" w:rsidRDefault="00965D88">
            <w:pPr>
              <w:rPr>
                <w:rFonts w:ascii="Century Gothic" w:hAnsi="Century Gothic"/>
              </w:rPr>
            </w:pPr>
          </w:p>
        </w:tc>
      </w:tr>
      <w:tr w:rsidR="00965D88" w:rsidRPr="00475D84" w14:paraId="03624A0F" w14:textId="77777777">
        <w:trPr>
          <w:trHeight w:val="250"/>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2A61C228" w14:textId="77777777" w:rsidR="00965D88" w:rsidRPr="00475D84" w:rsidRDefault="00000000">
            <w:pPr>
              <w:pStyle w:val="Body"/>
              <w:spacing w:after="0" w:line="240" w:lineRule="auto"/>
              <w:rPr>
                <w:rFonts w:ascii="Century Gothic" w:hAnsi="Century Gothic"/>
              </w:rPr>
            </w:pPr>
            <w:r w:rsidRPr="00475D84">
              <w:rPr>
                <w:rFonts w:ascii="Century Gothic" w:hAnsi="Century Gothic"/>
                <w:b/>
                <w:bCs/>
                <w:sz w:val="20"/>
                <w:szCs w:val="20"/>
                <w:lang w:val="en-US"/>
              </w:rPr>
              <w:t>Which of the following statements best describes the outcome of the assessment? </w:t>
            </w:r>
          </w:p>
        </w:tc>
      </w:tr>
      <w:tr w:rsidR="00965D88" w:rsidRPr="00475D84" w14:paraId="21A9491A"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BFC689" w14:textId="77777777" w:rsidR="00965D88" w:rsidRPr="00475D84" w:rsidRDefault="00000000">
            <w:pPr>
              <w:pStyle w:val="Body"/>
              <w:spacing w:after="0" w:line="240" w:lineRule="auto"/>
              <w:rPr>
                <w:rFonts w:ascii="Century Gothic" w:hAnsi="Century Gothic"/>
              </w:rPr>
            </w:pPr>
            <w:r w:rsidRPr="00475D84">
              <w:rPr>
                <w:rFonts w:ascii="Century Gothic" w:hAnsi="Century Gothic"/>
                <w:b/>
                <w:bCs/>
                <w:sz w:val="20"/>
                <w:szCs w:val="20"/>
                <w:lang w:val="en-US"/>
              </w:rPr>
              <w:t xml:space="preserve">Outcome 1: Continue: No change required: </w:t>
            </w:r>
            <w:r w:rsidRPr="00475D84">
              <w:rPr>
                <w:rFonts w:ascii="Century Gothic" w:hAnsi="Century Gothic"/>
                <w:sz w:val="20"/>
                <w:szCs w:val="20"/>
                <w:lang w:val="en-US"/>
              </w:rPr>
              <w:t>The assessment has not identified any potential for unlawful conduct or disproportionate impact. All opportunities to advance equity of opportunity are being addressed</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30729A" w14:textId="77777777" w:rsidR="00965D88" w:rsidRPr="00475D84" w:rsidRDefault="00000000">
            <w:pPr>
              <w:pStyle w:val="Body"/>
              <w:spacing w:after="0" w:line="240" w:lineRule="auto"/>
              <w:jc w:val="center"/>
              <w:rPr>
                <w:rFonts w:ascii="Century Gothic" w:hAnsi="Century Gothic"/>
              </w:rPr>
            </w:pPr>
            <w:r w:rsidRPr="00475D84">
              <w:rPr>
                <w:rFonts w:ascii="Segoe UI Symbol" w:eastAsia="MS Gothic" w:hAnsi="Segoe UI Symbol" w:cs="Segoe UI Symbol"/>
                <w:sz w:val="20"/>
                <w:szCs w:val="20"/>
                <w:lang w:val="en-US"/>
              </w:rPr>
              <w:t>☒</w:t>
            </w:r>
          </w:p>
        </w:tc>
      </w:tr>
      <w:tr w:rsidR="00965D88" w:rsidRPr="00475D84" w14:paraId="0B4E92DD"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662509" w14:textId="77777777" w:rsidR="00965D88" w:rsidRPr="00475D84" w:rsidRDefault="00000000">
            <w:pPr>
              <w:pStyle w:val="Body"/>
              <w:spacing w:after="0" w:line="240" w:lineRule="auto"/>
              <w:rPr>
                <w:rFonts w:ascii="Century Gothic" w:hAnsi="Century Gothic"/>
              </w:rPr>
            </w:pPr>
            <w:r w:rsidRPr="00475D84">
              <w:rPr>
                <w:rFonts w:ascii="Century Gothic" w:hAnsi="Century Gothic"/>
                <w:b/>
                <w:bCs/>
                <w:sz w:val="20"/>
                <w:szCs w:val="20"/>
                <w:lang w:val="en-US"/>
              </w:rPr>
              <w:t xml:space="preserve">Outcome 2: Continue: Minor changes required: </w:t>
            </w:r>
            <w:r w:rsidRPr="00475D84">
              <w:rPr>
                <w:rFonts w:ascii="Century Gothic" w:hAnsi="Century Gothic"/>
                <w:sz w:val="20"/>
                <w:szCs w:val="20"/>
                <w:lang w:val="en-US"/>
              </w:rPr>
              <w:t>Minor adjustments must be made to remove/mitigate adverse impact(s) or to advance equity of opportunity, prior to implementing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7CC1F" w14:textId="77777777" w:rsidR="00965D88" w:rsidRPr="00475D84" w:rsidRDefault="00000000">
            <w:pPr>
              <w:pStyle w:val="Body"/>
              <w:spacing w:after="0" w:line="240" w:lineRule="auto"/>
              <w:jc w:val="center"/>
              <w:rPr>
                <w:rFonts w:ascii="Century Gothic" w:hAnsi="Century Gothic"/>
              </w:rPr>
            </w:pPr>
            <w:r w:rsidRPr="00475D84">
              <w:rPr>
                <w:rFonts w:ascii="Segoe UI Symbol" w:eastAsia="MS Gothic" w:hAnsi="Segoe UI Symbol" w:cs="Segoe UI Symbol"/>
                <w:sz w:val="20"/>
                <w:szCs w:val="20"/>
                <w:lang w:val="en-US"/>
              </w:rPr>
              <w:t>☐</w:t>
            </w:r>
          </w:p>
        </w:tc>
      </w:tr>
      <w:tr w:rsidR="00965D88" w:rsidRPr="00475D84" w14:paraId="1B861CCE"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64D457" w14:textId="77777777" w:rsidR="00965D88" w:rsidRPr="00475D84" w:rsidRDefault="00000000">
            <w:pPr>
              <w:pStyle w:val="Body"/>
              <w:spacing w:after="0" w:line="240" w:lineRule="auto"/>
              <w:rPr>
                <w:rFonts w:ascii="Century Gothic" w:hAnsi="Century Gothic"/>
              </w:rPr>
            </w:pPr>
            <w:r w:rsidRPr="00475D84">
              <w:rPr>
                <w:rFonts w:ascii="Century Gothic" w:hAnsi="Century Gothic"/>
                <w:b/>
                <w:bCs/>
                <w:sz w:val="20"/>
                <w:szCs w:val="20"/>
                <w:lang w:val="en-US"/>
              </w:rPr>
              <w:t xml:space="preserve">Outcome 3: Continue: Major changes required: </w:t>
            </w:r>
            <w:r w:rsidRPr="00475D84">
              <w:rPr>
                <w:rFonts w:ascii="Century Gothic" w:hAnsi="Century Gothic"/>
                <w:sz w:val="20"/>
                <w:szCs w:val="20"/>
                <w:lang w:val="en-US"/>
              </w:rPr>
              <w:t>Major adjustments must be made to remove/mitigate adverse impact(s) or to advance equity of opportunity, prior to implementing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30651" w14:textId="77777777" w:rsidR="00965D88" w:rsidRPr="00475D84" w:rsidRDefault="00000000">
            <w:pPr>
              <w:pStyle w:val="Body"/>
              <w:spacing w:after="0" w:line="240" w:lineRule="auto"/>
              <w:jc w:val="center"/>
              <w:rPr>
                <w:rFonts w:ascii="Century Gothic" w:hAnsi="Century Gothic"/>
              </w:rPr>
            </w:pPr>
            <w:r w:rsidRPr="00475D84">
              <w:rPr>
                <w:rFonts w:ascii="Segoe UI Symbol" w:eastAsia="MS Gothic" w:hAnsi="Segoe UI Symbol" w:cs="Segoe UI Symbol"/>
                <w:sz w:val="20"/>
                <w:szCs w:val="20"/>
                <w:lang w:val="en-US"/>
              </w:rPr>
              <w:t>☐</w:t>
            </w:r>
          </w:p>
        </w:tc>
      </w:tr>
      <w:tr w:rsidR="00965D88" w:rsidRPr="00475D84" w14:paraId="0E1CBCCD" w14:textId="77777777">
        <w:trPr>
          <w:trHeight w:val="97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0BDA57" w14:textId="77777777" w:rsidR="00965D88" w:rsidRPr="00475D84" w:rsidRDefault="00000000">
            <w:pPr>
              <w:pStyle w:val="Body"/>
              <w:spacing w:after="0" w:line="240" w:lineRule="auto"/>
              <w:rPr>
                <w:rFonts w:ascii="Century Gothic" w:hAnsi="Century Gothic"/>
              </w:rPr>
            </w:pPr>
            <w:r w:rsidRPr="00475D84">
              <w:rPr>
                <w:rFonts w:ascii="Century Gothic" w:hAnsi="Century Gothic"/>
                <w:b/>
                <w:bCs/>
                <w:sz w:val="20"/>
                <w:szCs w:val="20"/>
                <w:lang w:val="en-US"/>
              </w:rPr>
              <w:t xml:space="preserve">Outcome 4: Continue: Changes are not practicable: </w:t>
            </w:r>
            <w:r w:rsidRPr="00475D84">
              <w:rPr>
                <w:rFonts w:ascii="Century Gothic" w:hAnsi="Century Gothic"/>
                <w:sz w:val="20"/>
                <w:szCs w:val="20"/>
                <w:lang w:val="en-US"/>
              </w:rPr>
              <w:t>There is the potential for a negative impact; however, there are no reasonably practicable remedies to overcome this. There is a justifiable reason, with evidence, for continuing with the implementation of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3E45D" w14:textId="77777777" w:rsidR="00965D88" w:rsidRPr="00475D84" w:rsidRDefault="00000000">
            <w:pPr>
              <w:pStyle w:val="Body"/>
              <w:spacing w:after="0" w:line="240" w:lineRule="auto"/>
              <w:jc w:val="center"/>
              <w:rPr>
                <w:rFonts w:ascii="Century Gothic" w:hAnsi="Century Gothic"/>
              </w:rPr>
            </w:pPr>
            <w:r w:rsidRPr="00475D84">
              <w:rPr>
                <w:rFonts w:ascii="Segoe UI Symbol" w:eastAsia="MS Gothic" w:hAnsi="Segoe UI Symbol" w:cs="Segoe UI Symbol"/>
                <w:sz w:val="20"/>
                <w:szCs w:val="20"/>
                <w:lang w:val="en-US"/>
              </w:rPr>
              <w:t>☐</w:t>
            </w:r>
          </w:p>
        </w:tc>
      </w:tr>
      <w:tr w:rsidR="00965D88" w:rsidRPr="00475D84" w14:paraId="7D34A082" w14:textId="77777777">
        <w:trPr>
          <w:trHeight w:val="49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3B5FF" w14:textId="77777777" w:rsidR="00965D88" w:rsidRPr="00475D84" w:rsidRDefault="00000000">
            <w:pPr>
              <w:pStyle w:val="Body"/>
              <w:spacing w:after="0" w:line="240" w:lineRule="auto"/>
              <w:rPr>
                <w:rFonts w:ascii="Century Gothic" w:hAnsi="Century Gothic"/>
              </w:rPr>
            </w:pPr>
            <w:r w:rsidRPr="00475D84">
              <w:rPr>
                <w:rFonts w:ascii="Century Gothic" w:hAnsi="Century Gothic"/>
                <w:b/>
                <w:bCs/>
                <w:sz w:val="20"/>
                <w:szCs w:val="20"/>
                <w:lang w:val="en-US"/>
              </w:rPr>
              <w:t xml:space="preserve">Outcome 5: Cessation: </w:t>
            </w:r>
            <w:r w:rsidRPr="00475D84">
              <w:rPr>
                <w:rFonts w:ascii="Century Gothic" w:hAnsi="Century Gothic"/>
                <w:sz w:val="20"/>
                <w:szCs w:val="20"/>
                <w:lang w:val="en-US"/>
              </w:rPr>
              <w:t>The policy will no longer be implemented. Major negative impacts have been identified and cannot be justifiably discounted or remedied</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9FA4F" w14:textId="77777777" w:rsidR="00965D88" w:rsidRPr="00475D84" w:rsidRDefault="00000000">
            <w:pPr>
              <w:pStyle w:val="Body"/>
              <w:spacing w:after="0" w:line="240" w:lineRule="auto"/>
              <w:jc w:val="center"/>
              <w:rPr>
                <w:rFonts w:ascii="Century Gothic" w:hAnsi="Century Gothic"/>
              </w:rPr>
            </w:pPr>
            <w:r w:rsidRPr="00475D84">
              <w:rPr>
                <w:rFonts w:ascii="Segoe UI Symbol" w:eastAsia="MS Gothic" w:hAnsi="Segoe UI Symbol" w:cs="Segoe UI Symbol"/>
                <w:sz w:val="20"/>
                <w:szCs w:val="20"/>
                <w:lang w:val="en-US"/>
              </w:rPr>
              <w:t>☐</w:t>
            </w:r>
          </w:p>
        </w:tc>
      </w:tr>
    </w:tbl>
    <w:p w14:paraId="66FE8626" w14:textId="77777777" w:rsidR="00965D88" w:rsidRPr="00475D84" w:rsidRDefault="00965D88">
      <w:pPr>
        <w:pStyle w:val="Body"/>
        <w:widowControl w:val="0"/>
        <w:spacing w:after="0" w:line="240" w:lineRule="auto"/>
        <w:rPr>
          <w:rFonts w:ascii="Century Gothic" w:eastAsia="Times New Roman" w:hAnsi="Century Gothic" w:cs="Times New Roman"/>
        </w:rPr>
      </w:pPr>
    </w:p>
    <w:p w14:paraId="4D6D4170" w14:textId="77777777" w:rsidR="00965D88" w:rsidRPr="00475D84" w:rsidRDefault="00965D88">
      <w:pPr>
        <w:pStyle w:val="Body"/>
        <w:spacing w:after="0" w:line="240" w:lineRule="auto"/>
        <w:rPr>
          <w:rFonts w:ascii="Century Gothic" w:eastAsia="Times New Roman" w:hAnsi="Century Gothic" w:cs="Times New Roman"/>
        </w:rPr>
      </w:pPr>
    </w:p>
    <w:p w14:paraId="73743329" w14:textId="77777777" w:rsidR="00965D88" w:rsidRPr="00475D84" w:rsidRDefault="00965D88">
      <w:pPr>
        <w:pStyle w:val="Body"/>
        <w:spacing w:after="0" w:line="240" w:lineRule="auto"/>
        <w:rPr>
          <w:rFonts w:ascii="Century Gothic" w:eastAsia="Times New Roman" w:hAnsi="Century Gothic" w:cs="Times New Roman"/>
        </w:rPr>
      </w:pPr>
    </w:p>
    <w:p w14:paraId="4BDBA50E" w14:textId="77777777" w:rsidR="00965D88" w:rsidRPr="00475D84" w:rsidRDefault="00965D88">
      <w:pPr>
        <w:pStyle w:val="Body"/>
        <w:spacing w:after="0" w:line="240" w:lineRule="auto"/>
        <w:rPr>
          <w:rFonts w:ascii="Century Gothic" w:eastAsia="Times New Roman" w:hAnsi="Century Gothic" w:cs="Times New Roman"/>
        </w:rPr>
      </w:pPr>
    </w:p>
    <w:p w14:paraId="4457D8FC" w14:textId="77777777" w:rsidR="00965D88" w:rsidRPr="00475D84" w:rsidRDefault="00965D88">
      <w:pPr>
        <w:pStyle w:val="Body"/>
        <w:spacing w:after="0" w:line="240" w:lineRule="auto"/>
        <w:rPr>
          <w:rFonts w:ascii="Century Gothic" w:eastAsia="Times New Roman" w:hAnsi="Century Gothic" w:cs="Times New Roman"/>
          <w:sz w:val="24"/>
          <w:szCs w:val="24"/>
        </w:rPr>
      </w:pPr>
    </w:p>
    <w:p w14:paraId="792C1FA6" w14:textId="77777777" w:rsidR="00965D88" w:rsidRPr="00475D84" w:rsidRDefault="00000000">
      <w:pPr>
        <w:pStyle w:val="Body"/>
        <w:spacing w:after="0" w:line="240" w:lineRule="auto"/>
        <w:jc w:val="both"/>
        <w:rPr>
          <w:rFonts w:ascii="Century Gothic" w:eastAsia="Times New Roman" w:hAnsi="Century Gothic" w:cs="Times New Roman"/>
          <w:sz w:val="24"/>
          <w:szCs w:val="24"/>
        </w:rPr>
      </w:pPr>
      <w:r w:rsidRPr="00475D84">
        <w:rPr>
          <w:rFonts w:ascii="Century Gothic" w:hAnsi="Century Gothic"/>
          <w:sz w:val="20"/>
          <w:szCs w:val="20"/>
          <w:lang w:val="en-US"/>
        </w:rPr>
        <w:t> </w:t>
      </w:r>
    </w:p>
    <w:p w14:paraId="2CC716EC" w14:textId="77777777" w:rsidR="00965D88" w:rsidRPr="00475D84" w:rsidRDefault="00965D88">
      <w:pPr>
        <w:pStyle w:val="Body"/>
        <w:rPr>
          <w:rFonts w:ascii="Century Gothic" w:hAnsi="Century Gothic"/>
        </w:rPr>
      </w:pPr>
    </w:p>
    <w:sectPr w:rsidR="00965D88" w:rsidRPr="00475D84">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641FD" w14:textId="77777777" w:rsidR="00104E5C" w:rsidRDefault="00104E5C">
      <w:r>
        <w:separator/>
      </w:r>
    </w:p>
  </w:endnote>
  <w:endnote w:type="continuationSeparator" w:id="0">
    <w:p w14:paraId="0E5986F2" w14:textId="77777777" w:rsidR="00104E5C" w:rsidRDefault="0010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ADA1" w14:textId="77777777" w:rsidR="00965D88" w:rsidRDefault="00000000">
    <w:pPr>
      <w:pStyle w:val="Footer"/>
      <w:tabs>
        <w:tab w:val="clear" w:pos="9026"/>
        <w:tab w:val="right" w:pos="9000"/>
      </w:tabs>
      <w:jc w:val="right"/>
      <w:rPr>
        <w:rFonts w:ascii="Century Gothic" w:eastAsia="Century Gothic" w:hAnsi="Century Gothic" w:cs="Century Gothic"/>
        <w:sz w:val="20"/>
        <w:szCs w:val="20"/>
      </w:rPr>
    </w:pPr>
    <w:r>
      <w:rPr>
        <w:rFonts w:ascii="Century Gothic" w:hAnsi="Century Gothic"/>
        <w:sz w:val="20"/>
        <w:szCs w:val="20"/>
      </w:rPr>
      <w:t xml:space="preserve">Equality, Diversity and Inclusion Policy </w:t>
    </w:r>
  </w:p>
  <w:p w14:paraId="764CE382" w14:textId="77777777" w:rsidR="00965D88" w:rsidRDefault="00000000">
    <w:pPr>
      <w:pStyle w:val="Footer"/>
      <w:tabs>
        <w:tab w:val="clear" w:pos="9026"/>
        <w:tab w:val="right" w:pos="9000"/>
      </w:tabs>
      <w:jc w:val="right"/>
    </w:pPr>
    <w:r>
      <w:rPr>
        <w:rFonts w:ascii="Century Gothic" w:hAnsi="Century Gothic"/>
        <w:sz w:val="20"/>
        <w:szCs w:val="20"/>
      </w:rPr>
      <w:t xml:space="preserve"> Page | </w:t>
    </w:r>
    <w:r>
      <w:rPr>
        <w:rFonts w:ascii="Century Gothic" w:eastAsia="Century Gothic" w:hAnsi="Century Gothic" w:cs="Century Gothic"/>
        <w:sz w:val="20"/>
        <w:szCs w:val="20"/>
      </w:rPr>
      <w:fldChar w:fldCharType="begin"/>
    </w:r>
    <w:r>
      <w:rPr>
        <w:rFonts w:ascii="Century Gothic" w:eastAsia="Century Gothic" w:hAnsi="Century Gothic" w:cs="Century Gothic"/>
        <w:sz w:val="20"/>
        <w:szCs w:val="20"/>
      </w:rPr>
      <w:instrText xml:space="preserve"> PAGE </w:instrText>
    </w:r>
    <w:r>
      <w:rPr>
        <w:rFonts w:ascii="Century Gothic" w:eastAsia="Century Gothic" w:hAnsi="Century Gothic" w:cs="Century Gothic"/>
        <w:sz w:val="20"/>
        <w:szCs w:val="20"/>
      </w:rPr>
      <w:fldChar w:fldCharType="separate"/>
    </w:r>
    <w:r w:rsidR="00475D84">
      <w:rPr>
        <w:rFonts w:ascii="Century Gothic" w:eastAsia="Century Gothic" w:hAnsi="Century Gothic" w:cs="Century Gothic"/>
        <w:noProof/>
        <w:sz w:val="20"/>
        <w:szCs w:val="20"/>
      </w:rPr>
      <w:t>1</w:t>
    </w:r>
    <w:r>
      <w:rPr>
        <w:rFonts w:ascii="Century Gothic" w:eastAsia="Century Gothic" w:hAnsi="Century Gothic" w:cs="Century Gothic"/>
        <w:sz w:val="20"/>
        <w:szCs w:val="20"/>
      </w:rPr>
      <w:fldChar w:fldCharType="end"/>
    </w:r>
    <w:r>
      <w:rPr>
        <w:rFonts w:ascii="Century Gothic" w:hAnsi="Century Gothic"/>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6541" w14:textId="77777777" w:rsidR="00104E5C" w:rsidRDefault="00104E5C">
      <w:r>
        <w:separator/>
      </w:r>
    </w:p>
  </w:footnote>
  <w:footnote w:type="continuationSeparator" w:id="0">
    <w:p w14:paraId="0D7C92F3" w14:textId="77777777" w:rsidR="00104E5C" w:rsidRDefault="00104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6993" w14:textId="77777777" w:rsidR="00965D88" w:rsidRDefault="00965D88">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20909"/>
    <w:multiLevelType w:val="hybridMultilevel"/>
    <w:tmpl w:val="ACA2622A"/>
    <w:styleLink w:val="ImportedStyle3"/>
    <w:lvl w:ilvl="0" w:tplc="59546D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B36ED2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D5679F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46AF19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7AAD1F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E746E1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FFEF58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996027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A0AAAA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58078FF"/>
    <w:multiLevelType w:val="hybridMultilevel"/>
    <w:tmpl w:val="ACA2622A"/>
    <w:numStyleLink w:val="ImportedStyle3"/>
  </w:abstractNum>
  <w:abstractNum w:abstractNumId="2" w15:restartNumberingAfterBreak="0">
    <w:nsid w:val="3D256E76"/>
    <w:multiLevelType w:val="hybridMultilevel"/>
    <w:tmpl w:val="07E68032"/>
    <w:numStyleLink w:val="ImportedStyle4"/>
  </w:abstractNum>
  <w:abstractNum w:abstractNumId="3" w15:restartNumberingAfterBreak="0">
    <w:nsid w:val="411220DC"/>
    <w:multiLevelType w:val="hybridMultilevel"/>
    <w:tmpl w:val="BC66115C"/>
    <w:styleLink w:val="ImportedStyle2"/>
    <w:lvl w:ilvl="0" w:tplc="431CEA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EA88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A4D9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CEFB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3A2F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EC44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7C44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C029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5CD5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9071CF9"/>
    <w:multiLevelType w:val="hybridMultilevel"/>
    <w:tmpl w:val="BC66115C"/>
    <w:numStyleLink w:val="ImportedStyle2"/>
  </w:abstractNum>
  <w:abstractNum w:abstractNumId="5" w15:restartNumberingAfterBreak="0">
    <w:nsid w:val="5EB62425"/>
    <w:multiLevelType w:val="hybridMultilevel"/>
    <w:tmpl w:val="D354FED2"/>
    <w:numStyleLink w:val="ImportedStyle1"/>
  </w:abstractNum>
  <w:abstractNum w:abstractNumId="6" w15:restartNumberingAfterBreak="0">
    <w:nsid w:val="600E4F6A"/>
    <w:multiLevelType w:val="hybridMultilevel"/>
    <w:tmpl w:val="D354FED2"/>
    <w:styleLink w:val="ImportedStyle1"/>
    <w:lvl w:ilvl="0" w:tplc="69D454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D624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86F3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080C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B89F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20DE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446F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DB099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84DD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C940784"/>
    <w:multiLevelType w:val="hybridMultilevel"/>
    <w:tmpl w:val="07E68032"/>
    <w:styleLink w:val="ImportedStyle4"/>
    <w:lvl w:ilvl="0" w:tplc="7660DB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DBCB84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2C8585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5B2CD5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1F2FC5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3046D0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E460DB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CE239F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FE6DA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459417034">
    <w:abstractNumId w:val="6"/>
  </w:num>
  <w:num w:numId="2" w16cid:durableId="809054677">
    <w:abstractNumId w:val="5"/>
  </w:num>
  <w:num w:numId="3" w16cid:durableId="1994410981">
    <w:abstractNumId w:val="3"/>
  </w:num>
  <w:num w:numId="4" w16cid:durableId="397748623">
    <w:abstractNumId w:val="4"/>
  </w:num>
  <w:num w:numId="5" w16cid:durableId="77949426">
    <w:abstractNumId w:val="0"/>
  </w:num>
  <w:num w:numId="6" w16cid:durableId="515846287">
    <w:abstractNumId w:val="1"/>
  </w:num>
  <w:num w:numId="7" w16cid:durableId="1690182154">
    <w:abstractNumId w:val="7"/>
  </w:num>
  <w:num w:numId="8" w16cid:durableId="439685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88"/>
    <w:rsid w:val="00104E5C"/>
    <w:rsid w:val="00193B7C"/>
    <w:rsid w:val="00475D84"/>
    <w:rsid w:val="006643FD"/>
    <w:rsid w:val="00965D88"/>
    <w:rsid w:val="00A72DD9"/>
    <w:rsid w:val="00F67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C7DB"/>
  <w15:docId w15:val="{10644A7B-C557-4BB9-95DF-6C5EEBC6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1445</Words>
  <Characters>8240</Characters>
  <Application>Microsoft Office Word</Application>
  <DocSecurity>0</DocSecurity>
  <Lines>68</Lines>
  <Paragraphs>19</Paragraphs>
  <ScaleCrop>false</ScaleCrop>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Woodcock</dc:creator>
  <cp:lastModifiedBy>Alexa Woodcock</cp:lastModifiedBy>
  <cp:revision>2</cp:revision>
  <dcterms:created xsi:type="dcterms:W3CDTF">2026-04-08T09:18:00Z</dcterms:created>
  <dcterms:modified xsi:type="dcterms:W3CDTF">2026-04-08T09:18:00Z</dcterms:modified>
</cp:coreProperties>
</file>