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BAC5" w14:textId="07B459C1" w:rsidR="00A27D56" w:rsidRPr="00E31BD2" w:rsidRDefault="000C2198">
      <w:pPr>
        <w:pStyle w:val="Body"/>
        <w:spacing w:after="120" w:line="360" w:lineRule="auto"/>
        <w:jc w:val="center"/>
        <w:rPr>
          <w:rFonts w:ascii="Century Gothic" w:eastAsia="Century Gothic" w:hAnsi="Century Gothic" w:cs="Century Gothic"/>
          <w:b/>
          <w:bCs/>
          <w:sz w:val="36"/>
          <w:szCs w:val="36"/>
        </w:rPr>
      </w:pPr>
      <w:r w:rsidRPr="00E31BD2">
        <w:rPr>
          <w:rFonts w:ascii="Century Gothic" w:hAnsi="Century Gothic"/>
          <w:noProof/>
        </w:rPr>
        <w:drawing>
          <wp:inline distT="0" distB="0" distL="0" distR="0" wp14:anchorId="2CE3E3CE" wp14:editId="3DA7337F">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0632D2C4" w14:textId="77777777" w:rsidR="00A27D56" w:rsidRPr="00E31BD2" w:rsidRDefault="00000000">
      <w:pPr>
        <w:pStyle w:val="Body"/>
        <w:spacing w:after="120" w:line="360" w:lineRule="auto"/>
        <w:jc w:val="center"/>
        <w:rPr>
          <w:rFonts w:ascii="Century Gothic" w:eastAsia="Century Gothic" w:hAnsi="Century Gothic" w:cs="Century Gothic"/>
          <w:b/>
          <w:bCs/>
          <w:sz w:val="36"/>
          <w:szCs w:val="36"/>
        </w:rPr>
      </w:pPr>
      <w:r w:rsidRPr="00E31BD2">
        <w:rPr>
          <w:rFonts w:ascii="Century Gothic" w:hAnsi="Century Gothic"/>
          <w:b/>
          <w:bCs/>
          <w:sz w:val="36"/>
          <w:szCs w:val="36"/>
          <w:lang w:val="en-US"/>
        </w:rPr>
        <w:t>Data Protection Policy</w:t>
      </w:r>
    </w:p>
    <w:p w14:paraId="66CC6059" w14:textId="77777777" w:rsidR="00A27D56" w:rsidRPr="00E31BD2" w:rsidRDefault="00A27D56">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A27D56" w:rsidRPr="00E31BD2" w14:paraId="2D9854F0"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92A8C" w14:textId="77777777" w:rsidR="00A27D56" w:rsidRPr="00E31BD2" w:rsidRDefault="00000000">
            <w:pPr>
              <w:pStyle w:val="Body"/>
              <w:rPr>
                <w:rFonts w:ascii="Century Gothic" w:hAnsi="Century Gothic"/>
              </w:rPr>
            </w:pPr>
            <w:r w:rsidRPr="00E31BD2">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20C23" w14:textId="4F6FB294" w:rsidR="00A27D56" w:rsidRPr="00E31BD2" w:rsidRDefault="008E60CA">
            <w:pPr>
              <w:pStyle w:val="Body"/>
              <w:spacing w:after="0" w:line="240" w:lineRule="auto"/>
              <w:rPr>
                <w:rFonts w:ascii="Century Gothic" w:hAnsi="Century Gothic"/>
              </w:rPr>
            </w:pPr>
            <w:r>
              <w:rPr>
                <w:rFonts w:ascii="Century Gothic" w:hAnsi="Century Gothic"/>
                <w:lang w:val="en-US"/>
              </w:rPr>
              <w:t>May</w:t>
            </w:r>
            <w:r w:rsidR="000267B4" w:rsidRPr="00E31BD2">
              <w:rPr>
                <w:rFonts w:ascii="Century Gothic" w:hAnsi="Century Gothic"/>
                <w:lang w:val="en-US"/>
              </w:rPr>
              <w:t xml:space="preserve"> 2025</w:t>
            </w:r>
          </w:p>
        </w:tc>
      </w:tr>
      <w:tr w:rsidR="00A27D56" w:rsidRPr="00E31BD2" w14:paraId="1E743CCF"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F33D5" w14:textId="77777777" w:rsidR="00A27D56" w:rsidRPr="00E31BD2" w:rsidRDefault="00000000">
            <w:pPr>
              <w:pStyle w:val="Body"/>
              <w:spacing w:after="0" w:line="240" w:lineRule="auto"/>
              <w:rPr>
                <w:rFonts w:ascii="Century Gothic" w:hAnsi="Century Gothic"/>
              </w:rPr>
            </w:pPr>
            <w:r w:rsidRPr="00E31BD2">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45882" w14:textId="230768A6" w:rsidR="00A27D56" w:rsidRPr="00E31BD2" w:rsidRDefault="008E60CA">
            <w:pPr>
              <w:pStyle w:val="Body"/>
              <w:spacing w:after="0" w:line="240" w:lineRule="auto"/>
              <w:rPr>
                <w:rFonts w:ascii="Century Gothic" w:hAnsi="Century Gothic"/>
              </w:rPr>
            </w:pPr>
            <w:r>
              <w:rPr>
                <w:rFonts w:ascii="Century Gothic" w:hAnsi="Century Gothic"/>
                <w:lang w:val="en-US"/>
              </w:rPr>
              <w:t>April 2026</w:t>
            </w:r>
          </w:p>
        </w:tc>
      </w:tr>
      <w:tr w:rsidR="00A27D56" w:rsidRPr="00E31BD2" w14:paraId="4FFB08EE"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D92E9" w14:textId="77777777" w:rsidR="00A27D56" w:rsidRPr="00E31BD2" w:rsidRDefault="00000000">
            <w:pPr>
              <w:pStyle w:val="Body"/>
              <w:spacing w:after="0" w:line="240" w:lineRule="auto"/>
              <w:rPr>
                <w:rFonts w:ascii="Century Gothic" w:hAnsi="Century Gothic"/>
              </w:rPr>
            </w:pPr>
            <w:r w:rsidRPr="00E31BD2">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9D9F2" w14:textId="155B46E7" w:rsidR="00A27D56" w:rsidRPr="00E31BD2" w:rsidRDefault="008E60CA">
            <w:pPr>
              <w:pStyle w:val="Body"/>
              <w:spacing w:after="0" w:line="240" w:lineRule="auto"/>
              <w:rPr>
                <w:rFonts w:ascii="Century Gothic" w:hAnsi="Century Gothic"/>
              </w:rPr>
            </w:pPr>
            <w:r>
              <w:rPr>
                <w:rFonts w:ascii="Century Gothic" w:hAnsi="Century Gothic"/>
                <w:lang w:val="en-US"/>
              </w:rPr>
              <w:t>April</w:t>
            </w:r>
            <w:r w:rsidR="000267B4" w:rsidRPr="00E31BD2">
              <w:rPr>
                <w:rFonts w:ascii="Century Gothic" w:hAnsi="Century Gothic"/>
                <w:lang w:val="en-US"/>
              </w:rPr>
              <w:t xml:space="preserve"> 202</w:t>
            </w:r>
            <w:r>
              <w:rPr>
                <w:rFonts w:ascii="Century Gothic" w:hAnsi="Century Gothic"/>
                <w:lang w:val="en-US"/>
              </w:rPr>
              <w:t>7</w:t>
            </w:r>
          </w:p>
        </w:tc>
      </w:tr>
    </w:tbl>
    <w:p w14:paraId="6C928194" w14:textId="77777777" w:rsidR="00A27D56" w:rsidRPr="00E31BD2" w:rsidRDefault="00A27D56">
      <w:pPr>
        <w:pStyle w:val="Body"/>
        <w:widowControl w:val="0"/>
        <w:spacing w:after="120" w:line="240" w:lineRule="auto"/>
        <w:jc w:val="center"/>
        <w:rPr>
          <w:rFonts w:ascii="Century Gothic" w:eastAsia="Century Gothic" w:hAnsi="Century Gothic" w:cs="Century Gothic"/>
          <w:b/>
          <w:bCs/>
          <w:sz w:val="2"/>
          <w:szCs w:val="2"/>
        </w:rPr>
      </w:pPr>
    </w:p>
    <w:p w14:paraId="4B81F2EA" w14:textId="77777777" w:rsidR="00A27D56" w:rsidRPr="00E31BD2" w:rsidRDefault="00A27D56">
      <w:pPr>
        <w:pStyle w:val="Body"/>
        <w:rPr>
          <w:rFonts w:ascii="Century Gothic" w:hAnsi="Century Gothic"/>
        </w:rPr>
      </w:pPr>
    </w:p>
    <w:p w14:paraId="5350E76E" w14:textId="654595E5"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It is the policy of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to demonstrate full and active compliance with data protection legislation, including the Data Protection Act and the UK General Data Protection Regulations (UK GDPR).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(also referred to as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understands that compliance is mandatory and that failure to demonstrate this can lead to robust penalties, both practical and financial. As a result of this,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has adopted a ‘privacy by design’ approach. This means that data protection is a fundamental principle at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for both existing and new projects. </w:t>
      </w:r>
    </w:p>
    <w:p w14:paraId="61CB3A6E" w14:textId="77777777" w:rsidR="00A27D56" w:rsidRPr="00E31BD2" w:rsidRDefault="00A27D56">
      <w:pPr>
        <w:pStyle w:val="Body"/>
        <w:spacing w:after="0" w:line="240" w:lineRule="auto"/>
        <w:jc w:val="both"/>
        <w:rPr>
          <w:rFonts w:ascii="Century Gothic" w:eastAsia="Century Gothic" w:hAnsi="Century Gothic" w:cs="Century Gothic"/>
        </w:rPr>
      </w:pPr>
    </w:p>
    <w:p w14:paraId="4C8D7523" w14:textId="50521F48" w:rsidR="00A27D56" w:rsidRPr="00E31BD2" w:rsidRDefault="000C2198">
      <w:pPr>
        <w:pStyle w:val="Body"/>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is not legally required to have a registered Data Protection Officer as there is no </w:t>
      </w:r>
      <w:proofErr w:type="gramStart"/>
      <w:r w:rsidRPr="00E31BD2">
        <w:rPr>
          <w:rFonts w:ascii="Century Gothic" w:hAnsi="Century Gothic"/>
          <w:lang w:val="en-US"/>
        </w:rPr>
        <w:t>large scale</w:t>
      </w:r>
      <w:proofErr w:type="gramEnd"/>
      <w:r w:rsidRPr="00E31BD2">
        <w:rPr>
          <w:rFonts w:ascii="Century Gothic" w:hAnsi="Century Gothic"/>
          <w:lang w:val="en-US"/>
        </w:rPr>
        <w:t xml:space="preserve"> processing of information, personal or special category. However, CEO Alexa Woodcock is responsible for all aspects of data protection compliance within the </w:t>
      </w:r>
      <w:proofErr w:type="spellStart"/>
      <w:r w:rsidRPr="00E31BD2">
        <w:rPr>
          <w:rFonts w:ascii="Century Gothic" w:hAnsi="Century Gothic"/>
          <w:lang w:val="en-US"/>
        </w:rPr>
        <w:t>organisation</w:t>
      </w:r>
      <w:proofErr w:type="spellEnd"/>
      <w:r w:rsidRPr="00E31BD2">
        <w:rPr>
          <w:rFonts w:ascii="Century Gothic" w:hAnsi="Century Gothic"/>
          <w:lang w:val="en-US"/>
        </w:rPr>
        <w:t>. For ease of reference, Alexa Woodcock is referred to throughout this policy as the Data Protection Officer.</w:t>
      </w:r>
    </w:p>
    <w:p w14:paraId="69D39E1F" w14:textId="57CDFE51"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This document applies to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as a whole, inclusive of all Directors, members of staff, volunteers and service beneficiaries across all work streams and all aspects of service delivery. </w:t>
      </w:r>
    </w:p>
    <w:p w14:paraId="7666065E"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430F2EB2"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387F47E5"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DEFINITION OF TERMS</w:t>
      </w:r>
    </w:p>
    <w:p w14:paraId="05F5DEE2" w14:textId="77777777" w:rsidR="00A27D56" w:rsidRPr="00E31BD2" w:rsidRDefault="00A27D56">
      <w:pPr>
        <w:pStyle w:val="Body"/>
        <w:spacing w:after="0" w:line="240" w:lineRule="auto"/>
        <w:jc w:val="both"/>
        <w:rPr>
          <w:rFonts w:ascii="Century Gothic" w:eastAsia="Century Gothic" w:hAnsi="Century Gothic" w:cs="Century Gothic"/>
          <w:b/>
          <w:bCs/>
        </w:rPr>
      </w:pPr>
    </w:p>
    <w:p w14:paraId="44742A8A"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Data Subject</w:t>
      </w:r>
    </w:p>
    <w:p w14:paraId="3790D0F1" w14:textId="77777777" w:rsidR="00A27D56" w:rsidRPr="00E31BD2" w:rsidRDefault="00A27D56">
      <w:pPr>
        <w:pStyle w:val="Body"/>
        <w:spacing w:after="0" w:line="240" w:lineRule="auto"/>
        <w:jc w:val="both"/>
        <w:rPr>
          <w:rFonts w:ascii="Century Gothic" w:eastAsia="Century Gothic" w:hAnsi="Century Gothic" w:cs="Century Gothic"/>
          <w:b/>
          <w:bCs/>
        </w:rPr>
      </w:pPr>
    </w:p>
    <w:p w14:paraId="49AC7B1A"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The individual to whom the personal information relates</w:t>
      </w:r>
    </w:p>
    <w:p w14:paraId="78FB6E35" w14:textId="77777777" w:rsidR="00A27D56" w:rsidRPr="00E31BD2" w:rsidRDefault="00A27D56">
      <w:pPr>
        <w:pStyle w:val="Body"/>
        <w:spacing w:after="0" w:line="240" w:lineRule="auto"/>
        <w:jc w:val="both"/>
        <w:rPr>
          <w:rFonts w:ascii="Century Gothic" w:eastAsia="Century Gothic" w:hAnsi="Century Gothic" w:cs="Century Gothic"/>
          <w:b/>
          <w:bCs/>
        </w:rPr>
      </w:pPr>
    </w:p>
    <w:p w14:paraId="60BFD852"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Natural or Legal Person</w:t>
      </w:r>
    </w:p>
    <w:p w14:paraId="3ADA9F60" w14:textId="77777777" w:rsidR="00A27D56" w:rsidRPr="00E31BD2" w:rsidRDefault="00A27D56">
      <w:pPr>
        <w:pStyle w:val="Body"/>
        <w:spacing w:after="0" w:line="240" w:lineRule="auto"/>
        <w:jc w:val="both"/>
        <w:rPr>
          <w:rFonts w:ascii="Century Gothic" w:eastAsia="Century Gothic" w:hAnsi="Century Gothic" w:cs="Century Gothic"/>
          <w:b/>
          <w:bCs/>
        </w:rPr>
      </w:pPr>
    </w:p>
    <w:p w14:paraId="7020FAB1" w14:textId="480DAE29" w:rsidR="00A27D56" w:rsidRPr="00E31BD2" w:rsidRDefault="00000000">
      <w:pPr>
        <w:pStyle w:val="Body"/>
        <w:spacing w:after="0" w:line="240" w:lineRule="auto"/>
        <w:jc w:val="both"/>
        <w:rPr>
          <w:rFonts w:ascii="Century Gothic" w:eastAsia="Century Gothic" w:hAnsi="Century Gothic" w:cs="Century Gothic"/>
          <w:shd w:val="clear" w:color="auto" w:fill="FFFFFF"/>
        </w:rPr>
      </w:pPr>
      <w:r w:rsidRPr="00E31BD2">
        <w:rPr>
          <w:rFonts w:ascii="Century Gothic" w:hAnsi="Century Gothic"/>
          <w:shd w:val="clear" w:color="auto" w:fill="FFFFFF"/>
          <w:lang w:val="en-US"/>
        </w:rPr>
        <w:t>In the eyes of the law, a ‘</w:t>
      </w:r>
      <w:r w:rsidRPr="00E31BD2">
        <w:rPr>
          <w:rFonts w:ascii="Century Gothic" w:hAnsi="Century Gothic"/>
          <w:shd w:val="clear" w:color="auto" w:fill="FFFFFF"/>
          <w:lang w:val="es-ES_tradnl"/>
        </w:rPr>
        <w:t xml:space="preserve">natural </w:t>
      </w:r>
      <w:proofErr w:type="spellStart"/>
      <w:r w:rsidRPr="00E31BD2">
        <w:rPr>
          <w:rFonts w:ascii="Century Gothic" w:hAnsi="Century Gothic"/>
          <w:shd w:val="clear" w:color="auto" w:fill="FFFFFF"/>
          <w:lang w:val="es-ES_tradnl"/>
        </w:rPr>
        <w:t>person</w:t>
      </w:r>
      <w:proofErr w:type="spellEnd"/>
      <w:r w:rsidRPr="00E31BD2">
        <w:rPr>
          <w:rFonts w:ascii="Century Gothic" w:hAnsi="Century Gothic"/>
          <w:shd w:val="clear" w:color="auto" w:fill="FFFFFF"/>
          <w:lang w:val="en-US"/>
        </w:rPr>
        <w:t>’ is an individual human being, where as a ‘</w:t>
      </w:r>
      <w:r w:rsidRPr="00E31BD2">
        <w:rPr>
          <w:rFonts w:ascii="Century Gothic" w:hAnsi="Century Gothic"/>
          <w:shd w:val="clear" w:color="auto" w:fill="FFFFFF"/>
          <w:lang w:val="pt-PT"/>
        </w:rPr>
        <w:t>legal person</w:t>
      </w:r>
      <w:r w:rsidRPr="00E31BD2">
        <w:rPr>
          <w:rFonts w:ascii="Century Gothic" w:hAnsi="Century Gothic"/>
          <w:shd w:val="clear" w:color="auto" w:fill="FFFFFF"/>
          <w:lang w:val="en-US"/>
        </w:rPr>
        <w:t xml:space="preserve">’ may be a private or public </w:t>
      </w:r>
      <w:proofErr w:type="spellStart"/>
      <w:r w:rsidRPr="00E31BD2">
        <w:rPr>
          <w:rFonts w:ascii="Century Gothic" w:hAnsi="Century Gothic"/>
          <w:shd w:val="clear" w:color="auto" w:fill="FFFFFF"/>
          <w:lang w:val="en-US"/>
        </w:rPr>
        <w:t>organisation</w:t>
      </w:r>
      <w:proofErr w:type="spellEnd"/>
      <w:r w:rsidRPr="00E31BD2">
        <w:rPr>
          <w:rFonts w:ascii="Century Gothic" w:hAnsi="Century Gothic"/>
          <w:shd w:val="clear" w:color="auto" w:fill="FFFFFF"/>
          <w:lang w:val="en-US"/>
        </w:rPr>
        <w:t xml:space="preserve">, firm or government agency </w:t>
      </w:r>
      <w:r w:rsidRPr="00E31BD2">
        <w:rPr>
          <w:rFonts w:ascii="Century Gothic" w:hAnsi="Century Gothic"/>
          <w:shd w:val="clear" w:color="auto" w:fill="FFFFFF"/>
          <w:lang w:val="en-US"/>
        </w:rPr>
        <w:lastRenderedPageBreak/>
        <w:t xml:space="preserve">that is </w:t>
      </w:r>
      <w:proofErr w:type="spellStart"/>
      <w:r w:rsidRPr="00E31BD2">
        <w:rPr>
          <w:rFonts w:ascii="Century Gothic" w:hAnsi="Century Gothic"/>
          <w:shd w:val="clear" w:color="auto" w:fill="FFFFFF"/>
          <w:lang w:val="en-US"/>
        </w:rPr>
        <w:t>recognised</w:t>
      </w:r>
      <w:proofErr w:type="spellEnd"/>
      <w:r w:rsidRPr="00E31BD2">
        <w:rPr>
          <w:rFonts w:ascii="Century Gothic" w:hAnsi="Century Gothic"/>
          <w:shd w:val="clear" w:color="auto" w:fill="FFFFFF"/>
          <w:lang w:val="en-US"/>
        </w:rPr>
        <w:t xml:space="preserve"> as having legal rights and obligations (i.e., can enter contracts, sue, and be sued). For example, a natural person is </w:t>
      </w:r>
      <w:r w:rsidR="000C2198" w:rsidRPr="00E31BD2">
        <w:rPr>
          <w:rFonts w:ascii="Century Gothic" w:hAnsi="Century Gothic"/>
          <w:shd w:val="clear" w:color="auto" w:fill="FFFFFF"/>
          <w:lang w:val="en-US"/>
        </w:rPr>
        <w:t>Alexa Woodcock</w:t>
      </w:r>
      <w:r w:rsidRPr="00E31BD2">
        <w:rPr>
          <w:rFonts w:ascii="Century Gothic" w:hAnsi="Century Gothic"/>
          <w:shd w:val="clear" w:color="auto" w:fill="FFFFFF"/>
          <w:lang w:val="en-US"/>
        </w:rPr>
        <w:t xml:space="preserve">, and a legal person is </w:t>
      </w:r>
      <w:proofErr w:type="spellStart"/>
      <w:r w:rsidR="000C2198" w:rsidRPr="00E31BD2">
        <w:rPr>
          <w:rFonts w:ascii="Century Gothic" w:hAnsi="Century Gothic"/>
          <w:lang w:val="en-US"/>
        </w:rPr>
        <w:t>SENDhelp</w:t>
      </w:r>
      <w:proofErr w:type="spellEnd"/>
      <w:r w:rsidRPr="00E31BD2">
        <w:rPr>
          <w:rFonts w:ascii="Century Gothic" w:hAnsi="Century Gothic"/>
          <w:shd w:val="clear" w:color="auto" w:fill="FFFFFF"/>
        </w:rPr>
        <w:t>.</w:t>
      </w:r>
    </w:p>
    <w:p w14:paraId="3C3E49D1" w14:textId="77777777" w:rsidR="00A27D56" w:rsidRPr="00E31BD2" w:rsidRDefault="00A27D56">
      <w:pPr>
        <w:pStyle w:val="Body"/>
        <w:spacing w:after="0" w:line="240" w:lineRule="auto"/>
        <w:jc w:val="both"/>
        <w:rPr>
          <w:rFonts w:ascii="Century Gothic" w:eastAsia="Century Gothic" w:hAnsi="Century Gothic" w:cs="Century Gothic"/>
          <w:b/>
          <w:bCs/>
        </w:rPr>
      </w:pPr>
    </w:p>
    <w:p w14:paraId="3CA2B7F5"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Data Controller and Data Processor</w:t>
      </w:r>
    </w:p>
    <w:p w14:paraId="49781476" w14:textId="77777777" w:rsidR="00A27D56" w:rsidRPr="00E31BD2" w:rsidRDefault="00A27D56">
      <w:pPr>
        <w:pStyle w:val="Body"/>
        <w:spacing w:after="0" w:line="240" w:lineRule="auto"/>
        <w:jc w:val="both"/>
        <w:rPr>
          <w:rFonts w:ascii="Century Gothic" w:eastAsia="Century Gothic" w:hAnsi="Century Gothic" w:cs="Century Gothic"/>
          <w:b/>
          <w:bCs/>
        </w:rPr>
      </w:pPr>
    </w:p>
    <w:p w14:paraId="1EB5C045"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Control, rather than possession, of personal data is the determining factor here. The data controller is the person (or business) who determines the purposes for which, and the way in which, personal data is processed. By contrast, a data processor is anyone who processes personal data on behalf of the data controller (excluding the data controller’s own employees). </w:t>
      </w:r>
    </w:p>
    <w:p w14:paraId="3D9DE2E5" w14:textId="77777777" w:rsidR="00A27D56" w:rsidRPr="00E31BD2" w:rsidRDefault="00A27D56">
      <w:pPr>
        <w:pStyle w:val="Body"/>
        <w:spacing w:after="0" w:line="240" w:lineRule="auto"/>
        <w:jc w:val="both"/>
        <w:rPr>
          <w:rFonts w:ascii="Century Gothic" w:eastAsia="Century Gothic" w:hAnsi="Century Gothic" w:cs="Century Gothic"/>
        </w:rPr>
      </w:pPr>
    </w:p>
    <w:p w14:paraId="6D163E22"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Data Protection Officer</w:t>
      </w:r>
    </w:p>
    <w:p w14:paraId="095AA17B" w14:textId="77777777" w:rsidR="00A27D56" w:rsidRPr="00E31BD2" w:rsidRDefault="00A27D56">
      <w:pPr>
        <w:pStyle w:val="Body"/>
        <w:spacing w:after="0" w:line="240" w:lineRule="auto"/>
        <w:jc w:val="both"/>
        <w:rPr>
          <w:rFonts w:ascii="Century Gothic" w:eastAsia="Century Gothic" w:hAnsi="Century Gothic" w:cs="Century Gothic"/>
          <w:b/>
          <w:bCs/>
        </w:rPr>
      </w:pPr>
    </w:p>
    <w:p w14:paraId="74F19A5C" w14:textId="423E933A"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At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w:t>
      </w:r>
      <w:r w:rsidR="000C2198" w:rsidRPr="00E31BD2">
        <w:rPr>
          <w:rFonts w:ascii="Century Gothic" w:hAnsi="Century Gothic"/>
          <w:lang w:val="en-US"/>
        </w:rPr>
        <w:t>Alexa Woodcock</w:t>
      </w:r>
      <w:r w:rsidRPr="00E31BD2">
        <w:rPr>
          <w:rFonts w:ascii="Century Gothic" w:hAnsi="Century Gothic"/>
          <w:lang w:val="en-US"/>
        </w:rPr>
        <w:t xml:space="preserve"> is responsible for all aspects of Data Protection. It is it their responsibility to create, implement and monitor systems that ensure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is compliant with UK GDPR. </w:t>
      </w:r>
    </w:p>
    <w:p w14:paraId="73BBC1D7" w14:textId="77777777" w:rsidR="00A27D56" w:rsidRPr="00E31BD2" w:rsidRDefault="00A27D56">
      <w:pPr>
        <w:pStyle w:val="Body"/>
        <w:spacing w:after="0" w:line="240" w:lineRule="auto"/>
        <w:jc w:val="both"/>
        <w:rPr>
          <w:rFonts w:ascii="Century Gothic" w:eastAsia="Century Gothic" w:hAnsi="Century Gothic" w:cs="Century Gothic"/>
        </w:rPr>
      </w:pPr>
    </w:p>
    <w:p w14:paraId="05085037"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nl-NL"/>
        </w:rPr>
        <w:t>Personal Data</w:t>
      </w:r>
    </w:p>
    <w:p w14:paraId="2AFA123E" w14:textId="77777777" w:rsidR="00A27D56" w:rsidRPr="00E31BD2" w:rsidRDefault="00A27D56">
      <w:pPr>
        <w:pStyle w:val="Body"/>
        <w:spacing w:after="0" w:line="240" w:lineRule="auto"/>
        <w:jc w:val="both"/>
        <w:rPr>
          <w:rFonts w:ascii="Century Gothic" w:eastAsia="Century Gothic" w:hAnsi="Century Gothic" w:cs="Century Gothic"/>
          <w:b/>
          <w:bCs/>
        </w:rPr>
      </w:pPr>
    </w:p>
    <w:p w14:paraId="569A9A35"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UK GDPR applies to ‘</w:t>
      </w:r>
      <w:r w:rsidRPr="00E31BD2">
        <w:rPr>
          <w:rFonts w:ascii="Century Gothic" w:hAnsi="Century Gothic"/>
          <w:lang w:val="nl-NL"/>
        </w:rPr>
        <w:t>personal data</w:t>
      </w:r>
      <w:r w:rsidRPr="00E31BD2">
        <w:rPr>
          <w:rFonts w:ascii="Century Gothic" w:hAnsi="Century Gothic"/>
          <w:lang w:val="en-US"/>
        </w:rPr>
        <w:t xml:space="preserve">’. This is defined as any information that can be used to identify a natural person directly or indirectly. </w:t>
      </w:r>
      <w:r w:rsidRPr="00E31BD2">
        <w:rPr>
          <w:rFonts w:ascii="Century Gothic" w:hAnsi="Century Gothic"/>
          <w:shd w:val="clear" w:color="auto" w:fill="FFFFFF"/>
          <w:lang w:val="en-US"/>
        </w:rPr>
        <w:t>For example, this may include somebody’s name, NHS number or an online identifier, among many other things.</w:t>
      </w:r>
    </w:p>
    <w:p w14:paraId="041ABA40" w14:textId="77777777" w:rsidR="00A27D56" w:rsidRPr="00E31BD2" w:rsidRDefault="00A27D56">
      <w:pPr>
        <w:pStyle w:val="Body"/>
        <w:spacing w:after="0" w:line="240" w:lineRule="auto"/>
        <w:jc w:val="both"/>
        <w:rPr>
          <w:rFonts w:ascii="Century Gothic" w:eastAsia="Century Gothic" w:hAnsi="Century Gothic" w:cs="Century Gothic"/>
          <w:shd w:val="clear" w:color="auto" w:fill="FFFFFF"/>
        </w:rPr>
      </w:pPr>
    </w:p>
    <w:p w14:paraId="1067D84F"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s-ES_tradnl"/>
        </w:rPr>
        <w:t xml:space="preserve">Granular </w:t>
      </w:r>
      <w:proofErr w:type="spellStart"/>
      <w:r w:rsidRPr="00E31BD2">
        <w:rPr>
          <w:rFonts w:ascii="Century Gothic" w:hAnsi="Century Gothic"/>
          <w:b/>
          <w:bCs/>
          <w:lang w:val="es-ES_tradnl"/>
        </w:rPr>
        <w:t>Consent</w:t>
      </w:r>
      <w:proofErr w:type="spellEnd"/>
    </w:p>
    <w:p w14:paraId="7AE204DE" w14:textId="77777777" w:rsidR="00A27D56" w:rsidRPr="00E31BD2" w:rsidRDefault="00A27D56">
      <w:pPr>
        <w:pStyle w:val="Body"/>
        <w:spacing w:after="0" w:line="240" w:lineRule="auto"/>
        <w:jc w:val="both"/>
        <w:rPr>
          <w:rFonts w:ascii="Century Gothic" w:eastAsia="Century Gothic" w:hAnsi="Century Gothic" w:cs="Century Gothic"/>
          <w:b/>
          <w:bCs/>
        </w:rPr>
      </w:pPr>
    </w:p>
    <w:p w14:paraId="4BE1C55D"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This means that, where appropriate, consent should be collected for different types of processing. Consent should not be ‘</w:t>
      </w:r>
      <w:r w:rsidRPr="00E31BD2">
        <w:rPr>
          <w:rFonts w:ascii="Century Gothic" w:hAnsi="Century Gothic"/>
          <w:lang w:val="da-DK"/>
        </w:rPr>
        <w:t>bundled</w:t>
      </w:r>
      <w:r w:rsidRPr="00E31BD2">
        <w:rPr>
          <w:rFonts w:ascii="Century Gothic" w:hAnsi="Century Gothic"/>
          <w:lang w:val="en-US"/>
        </w:rPr>
        <w:t xml:space="preserve">’ into one decision and signature. </w:t>
      </w:r>
      <w:r w:rsidRPr="00E31BD2">
        <w:rPr>
          <w:rFonts w:ascii="Century Gothic" w:hAnsi="Century Gothic"/>
          <w:shd w:val="clear" w:color="auto" w:fill="FFFFFF"/>
          <w:lang w:val="en-US"/>
        </w:rPr>
        <w:t>For example,</w:t>
      </w:r>
      <w:r w:rsidRPr="00E31BD2">
        <w:rPr>
          <w:rFonts w:ascii="Century Gothic" w:hAnsi="Century Gothic"/>
          <w:b/>
          <w:bCs/>
          <w:shd w:val="clear" w:color="auto" w:fill="FFFFFF"/>
        </w:rPr>
        <w:t xml:space="preserve"> </w:t>
      </w:r>
      <w:r w:rsidRPr="00E31BD2">
        <w:rPr>
          <w:rFonts w:ascii="Century Gothic" w:hAnsi="Century Gothic"/>
          <w:lang w:val="en-US"/>
        </w:rPr>
        <w:t>consent to data processing as part of service provision does not imply consent for fundraising data processing – this must be separate.</w:t>
      </w:r>
    </w:p>
    <w:p w14:paraId="2F5D5F6C" w14:textId="77777777" w:rsidR="00A27D56" w:rsidRPr="00E31BD2" w:rsidRDefault="00A27D56">
      <w:pPr>
        <w:pStyle w:val="Body"/>
        <w:spacing w:after="0" w:line="240" w:lineRule="auto"/>
        <w:jc w:val="both"/>
        <w:rPr>
          <w:rFonts w:ascii="Century Gothic" w:eastAsia="Century Gothic" w:hAnsi="Century Gothic" w:cs="Century Gothic"/>
          <w:b/>
          <w:bCs/>
        </w:rPr>
      </w:pPr>
    </w:p>
    <w:p w14:paraId="2C227586"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Special Categories of Personal Data</w:t>
      </w:r>
    </w:p>
    <w:p w14:paraId="41034D80" w14:textId="77777777" w:rsidR="00A27D56" w:rsidRPr="00E31BD2" w:rsidRDefault="00A27D56">
      <w:pPr>
        <w:pStyle w:val="Body"/>
        <w:spacing w:after="0" w:line="240" w:lineRule="auto"/>
        <w:jc w:val="both"/>
        <w:rPr>
          <w:rFonts w:ascii="Century Gothic" w:eastAsia="Century Gothic" w:hAnsi="Century Gothic" w:cs="Century Gothic"/>
          <w:b/>
          <w:bCs/>
        </w:rPr>
      </w:pPr>
    </w:p>
    <w:p w14:paraId="36C10DB4"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Special categories of personal data are defined as data that;</w:t>
      </w:r>
    </w:p>
    <w:p w14:paraId="273782F1" w14:textId="77777777" w:rsidR="00A27D56" w:rsidRPr="00E31BD2" w:rsidRDefault="00A27D56">
      <w:pPr>
        <w:pStyle w:val="Body"/>
        <w:spacing w:after="0" w:line="240" w:lineRule="auto"/>
        <w:jc w:val="both"/>
        <w:rPr>
          <w:rFonts w:ascii="Century Gothic" w:eastAsia="Century Gothic" w:hAnsi="Century Gothic" w:cs="Century Gothic"/>
        </w:rPr>
      </w:pPr>
    </w:p>
    <w:p w14:paraId="17A71525"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racial or ethnic origin</w:t>
      </w:r>
    </w:p>
    <w:p w14:paraId="7FE2EBC1"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political opinions</w:t>
      </w:r>
    </w:p>
    <w:p w14:paraId="3F7B379C"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religious or philosophical beliefs</w:t>
      </w:r>
    </w:p>
    <w:p w14:paraId="7511361B"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Trade Union membership</w:t>
      </w:r>
    </w:p>
    <w:p w14:paraId="3055B33A"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genetic data</w:t>
      </w:r>
    </w:p>
    <w:p w14:paraId="62C99701"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Is biometric data for the purpose of uniquely identifying a natural person</w:t>
      </w:r>
    </w:p>
    <w:p w14:paraId="6AB2E085"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health</w:t>
      </w:r>
    </w:p>
    <w:p w14:paraId="6B5C4261"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sex life or sexual orientation</w:t>
      </w:r>
    </w:p>
    <w:p w14:paraId="4D6B6AF0" w14:textId="77777777" w:rsidR="00A27D56" w:rsidRPr="00E31BD2" w:rsidRDefault="00A27D56">
      <w:pPr>
        <w:pStyle w:val="Body"/>
        <w:spacing w:after="0" w:line="240" w:lineRule="auto"/>
        <w:jc w:val="both"/>
        <w:rPr>
          <w:rFonts w:ascii="Century Gothic" w:eastAsia="Century Gothic" w:hAnsi="Century Gothic" w:cs="Century Gothic"/>
          <w:b/>
          <w:bCs/>
        </w:rPr>
      </w:pPr>
    </w:p>
    <w:p w14:paraId="2CF26203" w14:textId="77777777" w:rsidR="00A27D56" w:rsidRPr="00E31BD2" w:rsidRDefault="00A27D56">
      <w:pPr>
        <w:pStyle w:val="Body"/>
        <w:spacing w:after="0" w:line="240" w:lineRule="auto"/>
        <w:jc w:val="both"/>
        <w:rPr>
          <w:rFonts w:ascii="Century Gothic" w:eastAsia="Century Gothic" w:hAnsi="Century Gothic" w:cs="Century Gothic"/>
          <w:b/>
          <w:bCs/>
        </w:rPr>
      </w:pPr>
    </w:p>
    <w:p w14:paraId="69A6EB59"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Processing</w:t>
      </w:r>
    </w:p>
    <w:p w14:paraId="439FA281" w14:textId="77777777" w:rsidR="00A27D56" w:rsidRPr="00E31BD2" w:rsidRDefault="00A27D56">
      <w:pPr>
        <w:pStyle w:val="Body"/>
        <w:spacing w:after="0" w:line="240" w:lineRule="auto"/>
        <w:jc w:val="both"/>
        <w:rPr>
          <w:rFonts w:ascii="Century Gothic" w:eastAsia="Century Gothic" w:hAnsi="Century Gothic" w:cs="Century Gothic"/>
          <w:b/>
          <w:bCs/>
        </w:rPr>
      </w:pPr>
    </w:p>
    <w:p w14:paraId="5E29FB4A"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Processing data </w:t>
      </w:r>
      <w:proofErr w:type="gramStart"/>
      <w:r w:rsidRPr="00E31BD2">
        <w:rPr>
          <w:rFonts w:ascii="Century Gothic" w:hAnsi="Century Gothic"/>
          <w:lang w:val="en-US"/>
        </w:rPr>
        <w:t>means</w:t>
      </w:r>
      <w:proofErr w:type="gramEnd"/>
      <w:r w:rsidRPr="00E31BD2">
        <w:rPr>
          <w:rFonts w:ascii="Century Gothic" w:hAnsi="Century Gothic"/>
          <w:lang w:val="en-US"/>
        </w:rPr>
        <w:t xml:space="preserve"> any operation or set of operations, performed on personal data (including special categories of personal data). This may include collection, recording, general use, storage, erasure, destruction. This applies whether the processing is automated or manual.</w:t>
      </w:r>
    </w:p>
    <w:p w14:paraId="67816B64"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lastRenderedPageBreak/>
        <w:t>Data Breach</w:t>
      </w:r>
    </w:p>
    <w:p w14:paraId="6B01C62C" w14:textId="77777777" w:rsidR="00A27D56" w:rsidRPr="00E31BD2" w:rsidRDefault="00A27D56">
      <w:pPr>
        <w:pStyle w:val="Body"/>
        <w:spacing w:after="0" w:line="240" w:lineRule="auto"/>
        <w:jc w:val="both"/>
        <w:rPr>
          <w:rFonts w:ascii="Century Gothic" w:eastAsia="Century Gothic" w:hAnsi="Century Gothic" w:cs="Century Gothic"/>
          <w:b/>
          <w:bCs/>
          <w:lang w:val="en-US"/>
        </w:rPr>
      </w:pPr>
    </w:p>
    <w:p w14:paraId="3E1C86F0"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A breach of security leading to accidental or unlawful destruction, loss, </w:t>
      </w:r>
      <w:proofErr w:type="spellStart"/>
      <w:r w:rsidRPr="00E31BD2">
        <w:rPr>
          <w:rFonts w:ascii="Century Gothic" w:hAnsi="Century Gothic"/>
          <w:lang w:val="en-US"/>
        </w:rPr>
        <w:t>unauthorised</w:t>
      </w:r>
      <w:proofErr w:type="spellEnd"/>
      <w:r w:rsidRPr="00E31BD2">
        <w:rPr>
          <w:rFonts w:ascii="Century Gothic" w:hAnsi="Century Gothic"/>
          <w:lang w:val="en-US"/>
        </w:rPr>
        <w:t xml:space="preserve"> disclosure of, or access to personal information</w:t>
      </w:r>
    </w:p>
    <w:p w14:paraId="67716FE4" w14:textId="77777777" w:rsidR="00A27D56" w:rsidRPr="00E31BD2" w:rsidRDefault="00A27D56">
      <w:pPr>
        <w:pStyle w:val="Body"/>
        <w:spacing w:after="0" w:line="240" w:lineRule="auto"/>
        <w:jc w:val="both"/>
        <w:rPr>
          <w:rFonts w:ascii="Century Gothic" w:eastAsia="Century Gothic" w:hAnsi="Century Gothic" w:cs="Century Gothic"/>
          <w:b/>
          <w:bCs/>
          <w:lang w:val="en-US"/>
        </w:rPr>
      </w:pPr>
    </w:p>
    <w:p w14:paraId="05DE5B58" w14:textId="77777777" w:rsidR="00A27D56" w:rsidRPr="00E31BD2" w:rsidRDefault="00A27D56">
      <w:pPr>
        <w:pStyle w:val="Body"/>
        <w:spacing w:after="0" w:line="240" w:lineRule="auto"/>
        <w:jc w:val="both"/>
        <w:rPr>
          <w:rFonts w:ascii="Century Gothic" w:eastAsia="Century Gothic" w:hAnsi="Century Gothic" w:cs="Century Gothic"/>
          <w:b/>
          <w:bCs/>
          <w:lang w:val="en-US"/>
        </w:rPr>
      </w:pPr>
    </w:p>
    <w:p w14:paraId="3E62E675" w14:textId="77777777" w:rsidR="00A27D56" w:rsidRPr="00E31BD2" w:rsidRDefault="00000000">
      <w:pPr>
        <w:pStyle w:val="Body"/>
        <w:spacing w:after="0" w:line="240" w:lineRule="auto"/>
        <w:jc w:val="both"/>
        <w:rPr>
          <w:rFonts w:ascii="Century Gothic" w:eastAsia="Century Gothic" w:hAnsi="Century Gothic" w:cs="Century Gothic"/>
          <w:b/>
          <w:bCs/>
        </w:rPr>
      </w:pPr>
      <w:proofErr w:type="spellStart"/>
      <w:r w:rsidRPr="00E31BD2">
        <w:rPr>
          <w:rFonts w:ascii="Century Gothic" w:hAnsi="Century Gothic"/>
          <w:b/>
          <w:bCs/>
          <w:lang w:val="en-US"/>
        </w:rPr>
        <w:t>Pseudonymised</w:t>
      </w:r>
      <w:proofErr w:type="spellEnd"/>
    </w:p>
    <w:p w14:paraId="732FE5C6" w14:textId="77777777" w:rsidR="00A27D56" w:rsidRPr="00E31BD2" w:rsidRDefault="00A27D56">
      <w:pPr>
        <w:pStyle w:val="Body"/>
        <w:spacing w:after="0" w:line="240" w:lineRule="auto"/>
        <w:jc w:val="both"/>
        <w:rPr>
          <w:rFonts w:ascii="Century Gothic" w:eastAsia="Century Gothic" w:hAnsi="Century Gothic" w:cs="Century Gothic"/>
          <w:b/>
          <w:bCs/>
          <w:lang w:val="en-US"/>
        </w:rPr>
      </w:pPr>
    </w:p>
    <w:p w14:paraId="0F8EE3E1"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Processing data in a way that it cannot be used to identify an individual without additional information, which is kept separately and subject to appropriate security measures</w:t>
      </w:r>
    </w:p>
    <w:p w14:paraId="77C8E775"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71646099"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32DAB968" w14:textId="77777777" w:rsidR="00A27D56" w:rsidRPr="00E31BD2" w:rsidRDefault="00000000">
      <w:pPr>
        <w:pStyle w:val="Body"/>
        <w:spacing w:after="0" w:line="240" w:lineRule="auto"/>
        <w:jc w:val="both"/>
        <w:rPr>
          <w:rFonts w:ascii="Century Gothic" w:eastAsia="Century Gothic" w:hAnsi="Century Gothic" w:cs="Century Gothic"/>
          <w:b/>
          <w:bCs/>
          <w:sz w:val="24"/>
          <w:szCs w:val="24"/>
        </w:rPr>
      </w:pPr>
      <w:r w:rsidRPr="00E31BD2">
        <w:rPr>
          <w:rFonts w:ascii="Century Gothic" w:hAnsi="Century Gothic"/>
          <w:b/>
          <w:bCs/>
          <w:sz w:val="24"/>
          <w:szCs w:val="24"/>
        </w:rPr>
        <w:t>PRINCIPLES</w:t>
      </w:r>
    </w:p>
    <w:p w14:paraId="0C078CF2"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18B6E24E"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The data protection principles set out the main responsibilities for </w:t>
      </w:r>
      <w:proofErr w:type="spellStart"/>
      <w:r w:rsidRPr="00E31BD2">
        <w:rPr>
          <w:rFonts w:ascii="Century Gothic" w:hAnsi="Century Gothic"/>
          <w:lang w:val="en-US"/>
        </w:rPr>
        <w:t>organisations</w:t>
      </w:r>
      <w:proofErr w:type="spellEnd"/>
      <w:r w:rsidRPr="00E31BD2">
        <w:rPr>
          <w:rFonts w:ascii="Century Gothic" w:hAnsi="Century Gothic"/>
          <w:lang w:val="en-US"/>
        </w:rPr>
        <w:t xml:space="preserve"> and state that personal data shall be,</w:t>
      </w:r>
    </w:p>
    <w:p w14:paraId="3B147B44" w14:textId="77777777" w:rsidR="00A27D56" w:rsidRPr="00E31BD2" w:rsidRDefault="00A27D56">
      <w:pPr>
        <w:pStyle w:val="Body"/>
        <w:spacing w:after="0" w:line="240" w:lineRule="auto"/>
        <w:jc w:val="both"/>
        <w:rPr>
          <w:rFonts w:ascii="Century Gothic" w:eastAsia="Century Gothic" w:hAnsi="Century Gothic" w:cs="Century Gothic"/>
        </w:rPr>
      </w:pPr>
    </w:p>
    <w:p w14:paraId="1BC9AAA2" w14:textId="77777777" w:rsidR="00A27D56" w:rsidRPr="00E31BD2" w:rsidRDefault="00000000">
      <w:pPr>
        <w:pStyle w:val="Body"/>
        <w:numPr>
          <w:ilvl w:val="0"/>
          <w:numId w:val="4"/>
        </w:numPr>
        <w:spacing w:after="0" w:line="240" w:lineRule="auto"/>
        <w:jc w:val="both"/>
        <w:rPr>
          <w:rFonts w:ascii="Century Gothic" w:hAnsi="Century Gothic"/>
          <w:lang w:val="en-US"/>
        </w:rPr>
      </w:pPr>
      <w:r w:rsidRPr="00E31BD2">
        <w:rPr>
          <w:rFonts w:ascii="Century Gothic" w:hAnsi="Century Gothic"/>
          <w:lang w:val="en-US"/>
        </w:rPr>
        <w:t>Processed lawfully, fairly and in a transparent manner</w:t>
      </w:r>
    </w:p>
    <w:p w14:paraId="22A3D4E8" w14:textId="77777777" w:rsidR="00A27D56" w:rsidRPr="00E31BD2" w:rsidRDefault="00000000">
      <w:pPr>
        <w:pStyle w:val="Body"/>
        <w:numPr>
          <w:ilvl w:val="0"/>
          <w:numId w:val="4"/>
        </w:numPr>
        <w:spacing w:after="0" w:line="240" w:lineRule="auto"/>
        <w:jc w:val="both"/>
        <w:rPr>
          <w:rFonts w:ascii="Century Gothic" w:hAnsi="Century Gothic"/>
          <w:lang w:val="en-US"/>
        </w:rPr>
      </w:pPr>
      <w:r w:rsidRPr="00E31BD2">
        <w:rPr>
          <w:rFonts w:ascii="Century Gothic" w:hAnsi="Century Gothic"/>
          <w:lang w:val="en-US"/>
        </w:rPr>
        <w:t>Collected for specified, explicit and legitimate purposes and not further processed in a manner that is incompatible with those purposes</w:t>
      </w:r>
    </w:p>
    <w:p w14:paraId="022B89C6" w14:textId="77777777" w:rsidR="00A27D56" w:rsidRPr="00E31BD2" w:rsidRDefault="00000000">
      <w:pPr>
        <w:pStyle w:val="Body"/>
        <w:numPr>
          <w:ilvl w:val="0"/>
          <w:numId w:val="4"/>
        </w:numPr>
        <w:spacing w:after="0" w:line="240" w:lineRule="auto"/>
        <w:jc w:val="both"/>
        <w:rPr>
          <w:rFonts w:ascii="Century Gothic" w:hAnsi="Century Gothic"/>
          <w:lang w:val="en-US"/>
        </w:rPr>
      </w:pPr>
      <w:r w:rsidRPr="00E31BD2">
        <w:rPr>
          <w:rFonts w:ascii="Century Gothic" w:hAnsi="Century Gothic"/>
          <w:lang w:val="en-US"/>
        </w:rPr>
        <w:t>Adequate, relevant, and limited to what is necessary in relation to the purposes for which they are processed</w:t>
      </w:r>
    </w:p>
    <w:p w14:paraId="5B511AF7" w14:textId="77777777" w:rsidR="00A27D56" w:rsidRPr="00E31BD2" w:rsidRDefault="00000000">
      <w:pPr>
        <w:pStyle w:val="Body"/>
        <w:numPr>
          <w:ilvl w:val="0"/>
          <w:numId w:val="4"/>
        </w:numPr>
        <w:spacing w:after="0" w:line="240" w:lineRule="auto"/>
        <w:jc w:val="both"/>
        <w:rPr>
          <w:rFonts w:ascii="Century Gothic" w:hAnsi="Century Gothic"/>
          <w:lang w:val="en-US"/>
        </w:rPr>
      </w:pPr>
      <w:r w:rsidRPr="00E31BD2">
        <w:rPr>
          <w:rFonts w:ascii="Century Gothic" w:hAnsi="Century Gothic"/>
          <w:lang w:val="en-US"/>
        </w:rPr>
        <w:t>Accurate and, where necessary, kept up to date; every reasonable step must be taken to ensure that personal data that is inaccurate is rectified or erased without delay</w:t>
      </w:r>
    </w:p>
    <w:p w14:paraId="51844BC0" w14:textId="77777777" w:rsidR="00A27D56" w:rsidRPr="00E31BD2" w:rsidRDefault="00000000">
      <w:pPr>
        <w:pStyle w:val="Body"/>
        <w:numPr>
          <w:ilvl w:val="0"/>
          <w:numId w:val="4"/>
        </w:numPr>
        <w:spacing w:after="0" w:line="240" w:lineRule="auto"/>
        <w:jc w:val="both"/>
        <w:rPr>
          <w:rFonts w:ascii="Century Gothic" w:hAnsi="Century Gothic"/>
          <w:lang w:val="en-US"/>
        </w:rPr>
      </w:pPr>
      <w:r w:rsidRPr="00E31BD2">
        <w:rPr>
          <w:rFonts w:ascii="Century Gothic" w:hAnsi="Century Gothic"/>
          <w:lang w:val="en-US"/>
        </w:rPr>
        <w:t>Kept in a form that permits identification of data subjects for no longer than is necessary</w:t>
      </w:r>
    </w:p>
    <w:p w14:paraId="5B5AE34F" w14:textId="77777777" w:rsidR="00A27D56" w:rsidRPr="00E31BD2" w:rsidRDefault="00000000">
      <w:pPr>
        <w:pStyle w:val="Body"/>
        <w:numPr>
          <w:ilvl w:val="0"/>
          <w:numId w:val="4"/>
        </w:numPr>
        <w:spacing w:after="0" w:line="240" w:lineRule="auto"/>
        <w:jc w:val="both"/>
        <w:rPr>
          <w:rFonts w:ascii="Century Gothic" w:hAnsi="Century Gothic"/>
          <w:lang w:val="en-US"/>
        </w:rPr>
      </w:pPr>
      <w:r w:rsidRPr="00E31BD2">
        <w:rPr>
          <w:rFonts w:ascii="Century Gothic" w:hAnsi="Century Gothic"/>
          <w:lang w:val="en-US"/>
        </w:rPr>
        <w:t xml:space="preserve">Processed in a manner that ensures appropriate security of the personal data, including protection against </w:t>
      </w:r>
      <w:proofErr w:type="spellStart"/>
      <w:r w:rsidRPr="00E31BD2">
        <w:rPr>
          <w:rFonts w:ascii="Century Gothic" w:hAnsi="Century Gothic"/>
          <w:lang w:val="en-US"/>
        </w:rPr>
        <w:t>unauthorised</w:t>
      </w:r>
      <w:proofErr w:type="spellEnd"/>
      <w:r w:rsidRPr="00E31BD2">
        <w:rPr>
          <w:rFonts w:ascii="Century Gothic" w:hAnsi="Century Gothic"/>
          <w:lang w:val="en-US"/>
        </w:rPr>
        <w:t xml:space="preserve"> or unlawful processing and against accidental loss, destruction, or damage, using appropriate technical or </w:t>
      </w:r>
      <w:proofErr w:type="spellStart"/>
      <w:r w:rsidRPr="00E31BD2">
        <w:rPr>
          <w:rFonts w:ascii="Century Gothic" w:hAnsi="Century Gothic"/>
          <w:lang w:val="en-US"/>
        </w:rPr>
        <w:t>organisational</w:t>
      </w:r>
      <w:proofErr w:type="spellEnd"/>
      <w:r w:rsidRPr="00E31BD2">
        <w:rPr>
          <w:rFonts w:ascii="Century Gothic" w:hAnsi="Century Gothic"/>
          <w:lang w:val="en-US"/>
        </w:rPr>
        <w:t xml:space="preserve"> measures</w:t>
      </w:r>
    </w:p>
    <w:p w14:paraId="48CF3061" w14:textId="77777777" w:rsidR="00A27D56" w:rsidRPr="00E31BD2" w:rsidRDefault="00A27D56">
      <w:pPr>
        <w:pStyle w:val="Body"/>
        <w:spacing w:after="0" w:line="240" w:lineRule="auto"/>
        <w:jc w:val="both"/>
        <w:rPr>
          <w:rFonts w:ascii="Century Gothic" w:eastAsia="Century Gothic" w:hAnsi="Century Gothic" w:cs="Century Gothic"/>
        </w:rPr>
      </w:pPr>
    </w:p>
    <w:p w14:paraId="4F7FDB8B" w14:textId="77777777" w:rsidR="00A27D56" w:rsidRPr="00E31BD2" w:rsidRDefault="00A27D56">
      <w:pPr>
        <w:pStyle w:val="Body"/>
        <w:spacing w:after="0" w:line="240" w:lineRule="auto"/>
        <w:jc w:val="both"/>
        <w:rPr>
          <w:rFonts w:ascii="Century Gothic" w:eastAsia="Century Gothic" w:hAnsi="Century Gothic" w:cs="Century Gothic"/>
        </w:rPr>
      </w:pPr>
    </w:p>
    <w:p w14:paraId="77164952" w14:textId="29CE2A0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It is a legislative requirement that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be able to demonstrate compliance with each of the principles in respect of the following key areas,</w:t>
      </w:r>
    </w:p>
    <w:p w14:paraId="2D07C939" w14:textId="77777777" w:rsidR="00A27D56" w:rsidRPr="00E31BD2" w:rsidRDefault="00A27D56">
      <w:pPr>
        <w:pStyle w:val="Body"/>
        <w:spacing w:after="0" w:line="240" w:lineRule="auto"/>
        <w:jc w:val="both"/>
        <w:rPr>
          <w:rFonts w:ascii="Century Gothic" w:eastAsia="Century Gothic" w:hAnsi="Century Gothic" w:cs="Century Gothic"/>
        </w:rPr>
      </w:pPr>
    </w:p>
    <w:p w14:paraId="1EBF620E"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Lawful processing</w:t>
      </w:r>
    </w:p>
    <w:p w14:paraId="2F217E77" w14:textId="77777777" w:rsidR="00A27D56" w:rsidRPr="00E31BD2" w:rsidRDefault="00000000">
      <w:pPr>
        <w:pStyle w:val="Body"/>
        <w:numPr>
          <w:ilvl w:val="0"/>
          <w:numId w:val="6"/>
        </w:numPr>
        <w:spacing w:after="0" w:line="240" w:lineRule="auto"/>
        <w:jc w:val="both"/>
        <w:rPr>
          <w:rFonts w:ascii="Century Gothic" w:hAnsi="Century Gothic"/>
          <w:lang w:val="it-IT"/>
        </w:rPr>
      </w:pPr>
      <w:r w:rsidRPr="00E31BD2">
        <w:rPr>
          <w:rFonts w:ascii="Century Gothic" w:hAnsi="Century Gothic"/>
          <w:lang w:val="it-IT"/>
        </w:rPr>
        <w:t>Consent</w:t>
      </w:r>
    </w:p>
    <w:p w14:paraId="32FD6ABB"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Children’</w:t>
      </w:r>
      <w:r w:rsidRPr="00E31BD2">
        <w:rPr>
          <w:rFonts w:ascii="Century Gothic" w:hAnsi="Century Gothic"/>
          <w:lang w:val="pt-PT"/>
        </w:rPr>
        <w:t>s personal data</w:t>
      </w:r>
    </w:p>
    <w:p w14:paraId="3EF4570F"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The right to be informed</w:t>
      </w:r>
    </w:p>
    <w:p w14:paraId="3EBCAD18"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The right of access</w:t>
      </w:r>
    </w:p>
    <w:p w14:paraId="674958F8"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The right to rectification</w:t>
      </w:r>
    </w:p>
    <w:p w14:paraId="03E7077A"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The right to erasure</w:t>
      </w:r>
    </w:p>
    <w:p w14:paraId="51167D94"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The right to restrict processing</w:t>
      </w:r>
    </w:p>
    <w:p w14:paraId="66DC81B0"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The right to data portability</w:t>
      </w:r>
    </w:p>
    <w:p w14:paraId="34681E7F"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The right to object</w:t>
      </w:r>
    </w:p>
    <w:p w14:paraId="1966B4A6"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Accountability and governance</w:t>
      </w:r>
    </w:p>
    <w:p w14:paraId="142CF4DC"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Breach notification</w:t>
      </w:r>
    </w:p>
    <w:p w14:paraId="1BBA6A60" w14:textId="77777777" w:rsidR="00A27D56" w:rsidRPr="00E31BD2" w:rsidRDefault="00000000">
      <w:pPr>
        <w:pStyle w:val="Body"/>
        <w:numPr>
          <w:ilvl w:val="0"/>
          <w:numId w:val="6"/>
        </w:numPr>
        <w:spacing w:after="0" w:line="240" w:lineRule="auto"/>
        <w:jc w:val="both"/>
        <w:rPr>
          <w:rFonts w:ascii="Century Gothic" w:hAnsi="Century Gothic"/>
          <w:lang w:val="en-US"/>
        </w:rPr>
      </w:pPr>
      <w:r w:rsidRPr="00E31BD2">
        <w:rPr>
          <w:rFonts w:ascii="Century Gothic" w:hAnsi="Century Gothic"/>
          <w:lang w:val="en-US"/>
        </w:rPr>
        <w:t>Transfer of data</w:t>
      </w:r>
    </w:p>
    <w:p w14:paraId="598F9F2B" w14:textId="77777777" w:rsidR="00A27D56" w:rsidRPr="00E31BD2" w:rsidRDefault="00A27D56">
      <w:pPr>
        <w:pStyle w:val="Body"/>
        <w:spacing w:after="0" w:line="240" w:lineRule="auto"/>
        <w:jc w:val="both"/>
        <w:rPr>
          <w:rFonts w:ascii="Century Gothic" w:eastAsia="Century Gothic" w:hAnsi="Century Gothic" w:cs="Century Gothic"/>
        </w:rPr>
      </w:pPr>
    </w:p>
    <w:p w14:paraId="75DA1A98" w14:textId="598F72EA"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lastRenderedPageBreak/>
        <w:t xml:space="preserve">Rights in relation to automated decision making and profiling is not applicable as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does not </w:t>
      </w:r>
      <w:proofErr w:type="spellStart"/>
      <w:r w:rsidRPr="00E31BD2">
        <w:rPr>
          <w:rFonts w:ascii="Century Gothic" w:hAnsi="Century Gothic"/>
          <w:lang w:val="en-US"/>
        </w:rPr>
        <w:t>utilise</w:t>
      </w:r>
      <w:proofErr w:type="spellEnd"/>
      <w:r w:rsidRPr="00E31BD2">
        <w:rPr>
          <w:rFonts w:ascii="Century Gothic" w:hAnsi="Century Gothic"/>
          <w:lang w:val="en-US"/>
        </w:rPr>
        <w:t xml:space="preserve"> any such automated tools, human interaction is required for the processing of personal information. In addition to this,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does not meet the criteria for exemption in relation to national derogations.</w:t>
      </w:r>
    </w:p>
    <w:p w14:paraId="4B3B4196" w14:textId="77777777" w:rsidR="00A27D56" w:rsidRPr="00E31BD2" w:rsidRDefault="00A27D56">
      <w:pPr>
        <w:pStyle w:val="Body"/>
        <w:spacing w:after="0" w:line="240" w:lineRule="auto"/>
        <w:jc w:val="both"/>
        <w:rPr>
          <w:rFonts w:ascii="Century Gothic" w:eastAsia="Century Gothic" w:hAnsi="Century Gothic" w:cs="Century Gothic"/>
        </w:rPr>
      </w:pPr>
    </w:p>
    <w:p w14:paraId="3B5007CF" w14:textId="77777777" w:rsidR="00A27D56" w:rsidRPr="00E31BD2" w:rsidRDefault="00A27D56">
      <w:pPr>
        <w:pStyle w:val="Body"/>
        <w:spacing w:after="0" w:line="240" w:lineRule="auto"/>
        <w:jc w:val="both"/>
        <w:rPr>
          <w:rFonts w:ascii="Century Gothic" w:eastAsia="Century Gothic" w:hAnsi="Century Gothic" w:cs="Century Gothic"/>
        </w:rPr>
      </w:pPr>
    </w:p>
    <w:p w14:paraId="084874C2"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LAWFUL PROCESSING</w:t>
      </w:r>
    </w:p>
    <w:p w14:paraId="5EB3E0CF" w14:textId="77777777" w:rsidR="00A27D56" w:rsidRPr="00E31BD2" w:rsidRDefault="00A27D56">
      <w:pPr>
        <w:pStyle w:val="Body"/>
        <w:spacing w:after="0" w:line="240" w:lineRule="auto"/>
        <w:jc w:val="both"/>
        <w:rPr>
          <w:rFonts w:ascii="Century Gothic" w:eastAsia="Century Gothic" w:hAnsi="Century Gothic" w:cs="Century Gothic"/>
          <w:b/>
          <w:bCs/>
        </w:rPr>
      </w:pPr>
    </w:p>
    <w:p w14:paraId="35C45717"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Personal data will be processed lawfully, fairly and in a transparent manner</w:t>
      </w:r>
    </w:p>
    <w:p w14:paraId="484DEACA" w14:textId="77777777" w:rsidR="00A27D56" w:rsidRPr="00E31BD2" w:rsidRDefault="00A27D56">
      <w:pPr>
        <w:pStyle w:val="Body"/>
        <w:spacing w:after="0" w:line="240" w:lineRule="auto"/>
        <w:jc w:val="both"/>
        <w:rPr>
          <w:rFonts w:ascii="Century Gothic" w:eastAsia="Century Gothic" w:hAnsi="Century Gothic" w:cs="Century Gothic"/>
          <w:b/>
          <w:bCs/>
        </w:rPr>
      </w:pPr>
    </w:p>
    <w:p w14:paraId="703534A0"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Prior to processing any personal information, members of staff must have a legitimate reason for doing so. This is called the lawful basis for processing. There are six available lawful processes for processing, with no single basis ‘better’ or more important than the others; they are:</w:t>
      </w:r>
    </w:p>
    <w:p w14:paraId="4430D7E2" w14:textId="77777777" w:rsidR="00A27D56" w:rsidRPr="00E31BD2" w:rsidRDefault="00A27D56">
      <w:pPr>
        <w:pStyle w:val="Body"/>
        <w:spacing w:after="0" w:line="240" w:lineRule="auto"/>
        <w:jc w:val="both"/>
        <w:rPr>
          <w:rFonts w:ascii="Century Gothic" w:eastAsia="Century Gothic" w:hAnsi="Century Gothic" w:cs="Century Gothic"/>
        </w:rPr>
      </w:pPr>
    </w:p>
    <w:p w14:paraId="20D6D963"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Consent - The individual has given clear consent for processing their personal details for a specific purpose</w:t>
      </w:r>
    </w:p>
    <w:p w14:paraId="6D5E6E19"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 xml:space="preserve">Contract - The processing is necessary to deliver a contractual service, or because they have asked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to take specific steps before entering a contract</w:t>
      </w:r>
    </w:p>
    <w:p w14:paraId="5AB2ABB1"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Legal Obligation - The processing is necessary to comply with the law</w:t>
      </w:r>
    </w:p>
    <w:p w14:paraId="137193D3"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Vital Interests - The processing is necessary to protect someone’s life</w:t>
      </w:r>
    </w:p>
    <w:p w14:paraId="0740B60F"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Public Task - The processing is necessary to perform a task in the public interest or for official functions that have a clear basis in law</w:t>
      </w:r>
    </w:p>
    <w:p w14:paraId="58951DF6"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 xml:space="preserve">Legitimate Interests - The processing is necessary, for a specific purpose and the balance is in </w:t>
      </w:r>
      <w:proofErr w:type="spellStart"/>
      <w:r w:rsidRPr="00E31BD2">
        <w:rPr>
          <w:rFonts w:ascii="Century Gothic" w:hAnsi="Century Gothic"/>
          <w:lang w:val="en-US"/>
        </w:rPr>
        <w:t>favour</w:t>
      </w:r>
      <w:proofErr w:type="spellEnd"/>
      <w:r w:rsidRPr="00E31BD2">
        <w:rPr>
          <w:rFonts w:ascii="Century Gothic" w:hAnsi="Century Gothic"/>
          <w:lang w:val="en-US"/>
        </w:rPr>
        <w:t xml:space="preserve"> of the individuals’ interests </w:t>
      </w:r>
    </w:p>
    <w:p w14:paraId="6BAB4F44" w14:textId="77777777" w:rsidR="00A27D56" w:rsidRPr="00E31BD2" w:rsidRDefault="00A27D56">
      <w:pPr>
        <w:pStyle w:val="Body"/>
        <w:spacing w:after="0" w:line="240" w:lineRule="auto"/>
        <w:jc w:val="both"/>
        <w:rPr>
          <w:rFonts w:ascii="Century Gothic" w:eastAsia="Century Gothic" w:hAnsi="Century Gothic" w:cs="Century Gothic"/>
        </w:rPr>
      </w:pPr>
    </w:p>
    <w:p w14:paraId="260CC8EF"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Most lawful bases require that processing is ‘necessary’. If you can reasonably achieve the same purpose without the processing, you will not have a lawful basis.  </w:t>
      </w:r>
    </w:p>
    <w:p w14:paraId="53853B96" w14:textId="77777777" w:rsidR="00A27D56" w:rsidRPr="00E31BD2" w:rsidRDefault="00A27D56">
      <w:pPr>
        <w:pStyle w:val="Body"/>
        <w:spacing w:after="0" w:line="240" w:lineRule="auto"/>
        <w:jc w:val="both"/>
        <w:rPr>
          <w:rFonts w:ascii="Century Gothic" w:eastAsia="Century Gothic" w:hAnsi="Century Gothic" w:cs="Century Gothic"/>
        </w:rPr>
      </w:pPr>
    </w:p>
    <w:p w14:paraId="394BBD43"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For example, it is ‘necessary’ to collect an employee’s bank details in order to pay them and to therefore comply with employment law. However, it is not necessary to collect a person’s bank details in order to email fundraising opportunities to them. </w:t>
      </w:r>
    </w:p>
    <w:p w14:paraId="29A89007" w14:textId="77777777" w:rsidR="00A27D56" w:rsidRPr="00E31BD2" w:rsidRDefault="00A27D56">
      <w:pPr>
        <w:pStyle w:val="Body"/>
        <w:spacing w:after="0" w:line="240" w:lineRule="auto"/>
        <w:jc w:val="both"/>
        <w:rPr>
          <w:rFonts w:ascii="Century Gothic" w:eastAsia="Century Gothic" w:hAnsi="Century Gothic" w:cs="Century Gothic"/>
        </w:rPr>
      </w:pPr>
    </w:p>
    <w:p w14:paraId="42AA2A78"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Members of staff must also adhere to the specific rules relating to ‘special categories of data’. This is sensitive data that,</w:t>
      </w:r>
    </w:p>
    <w:p w14:paraId="152C13D7" w14:textId="77777777" w:rsidR="00A27D56" w:rsidRPr="00E31BD2" w:rsidRDefault="00A27D56">
      <w:pPr>
        <w:pStyle w:val="Body"/>
        <w:spacing w:after="0" w:line="240" w:lineRule="auto"/>
        <w:jc w:val="both"/>
        <w:rPr>
          <w:rFonts w:ascii="Century Gothic" w:eastAsia="Century Gothic" w:hAnsi="Century Gothic" w:cs="Century Gothic"/>
        </w:rPr>
      </w:pPr>
    </w:p>
    <w:p w14:paraId="5701D534"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racial or ethnic origin</w:t>
      </w:r>
    </w:p>
    <w:p w14:paraId="7C5D0B45"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political opinions</w:t>
      </w:r>
    </w:p>
    <w:p w14:paraId="18865F0A"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religious or philosophical beliefs</w:t>
      </w:r>
    </w:p>
    <w:p w14:paraId="75F8B79B"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Trade Union membership</w:t>
      </w:r>
    </w:p>
    <w:p w14:paraId="61A89F41"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genetic data</w:t>
      </w:r>
    </w:p>
    <w:p w14:paraId="1CF27AD3"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Is biometric data for the purpose of uniquely identifying a natural person</w:t>
      </w:r>
    </w:p>
    <w:p w14:paraId="1D5EADF2"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health</w:t>
      </w:r>
    </w:p>
    <w:p w14:paraId="5443E6B8" w14:textId="77777777" w:rsidR="00A27D56" w:rsidRPr="00E31BD2" w:rsidRDefault="00000000">
      <w:pPr>
        <w:pStyle w:val="Body"/>
        <w:numPr>
          <w:ilvl w:val="0"/>
          <w:numId w:val="2"/>
        </w:numPr>
        <w:spacing w:after="0" w:line="240" w:lineRule="auto"/>
        <w:jc w:val="both"/>
        <w:rPr>
          <w:rFonts w:ascii="Century Gothic" w:hAnsi="Century Gothic"/>
          <w:lang w:val="en-US"/>
        </w:rPr>
      </w:pPr>
      <w:r w:rsidRPr="00E31BD2">
        <w:rPr>
          <w:rFonts w:ascii="Century Gothic" w:hAnsi="Century Gothic"/>
          <w:lang w:val="en-US"/>
        </w:rPr>
        <w:t>Reveals sex life or sexual orientation</w:t>
      </w:r>
    </w:p>
    <w:p w14:paraId="4BF6F776" w14:textId="77777777" w:rsidR="00A27D56" w:rsidRPr="00E31BD2" w:rsidRDefault="00A27D56">
      <w:pPr>
        <w:pStyle w:val="Body"/>
        <w:spacing w:after="0" w:line="240" w:lineRule="auto"/>
        <w:jc w:val="both"/>
        <w:rPr>
          <w:rFonts w:ascii="Century Gothic" w:eastAsia="Century Gothic" w:hAnsi="Century Gothic" w:cs="Century Gothic"/>
        </w:rPr>
      </w:pPr>
    </w:p>
    <w:p w14:paraId="5C8042CE" w14:textId="77777777" w:rsidR="00A27D56" w:rsidRPr="00E31BD2" w:rsidRDefault="00A27D56">
      <w:pPr>
        <w:pStyle w:val="Body"/>
        <w:spacing w:after="0" w:line="240" w:lineRule="auto"/>
        <w:jc w:val="both"/>
        <w:rPr>
          <w:rFonts w:ascii="Century Gothic" w:eastAsia="Century Gothic" w:hAnsi="Century Gothic" w:cs="Century Gothic"/>
        </w:rPr>
      </w:pPr>
    </w:p>
    <w:p w14:paraId="3F8FC9FA" w14:textId="77777777" w:rsidR="00A27D56" w:rsidRPr="00E31BD2" w:rsidRDefault="00A27D56">
      <w:pPr>
        <w:pStyle w:val="Body"/>
        <w:spacing w:after="0" w:line="240" w:lineRule="auto"/>
        <w:jc w:val="both"/>
        <w:rPr>
          <w:rFonts w:ascii="Century Gothic" w:eastAsia="Century Gothic" w:hAnsi="Century Gothic" w:cs="Century Gothic"/>
        </w:rPr>
      </w:pPr>
    </w:p>
    <w:p w14:paraId="0A44604E" w14:textId="77777777" w:rsidR="00A27D56" w:rsidRPr="00E31BD2" w:rsidRDefault="00A27D56">
      <w:pPr>
        <w:pStyle w:val="Body"/>
        <w:spacing w:after="0" w:line="240" w:lineRule="auto"/>
        <w:jc w:val="both"/>
        <w:rPr>
          <w:rFonts w:ascii="Century Gothic" w:eastAsia="Century Gothic" w:hAnsi="Century Gothic" w:cs="Century Gothic"/>
        </w:rPr>
      </w:pPr>
    </w:p>
    <w:p w14:paraId="7C2F33B3" w14:textId="77777777" w:rsidR="00A27D56" w:rsidRPr="00E31BD2" w:rsidRDefault="00A27D56">
      <w:pPr>
        <w:pStyle w:val="Body"/>
        <w:spacing w:after="0" w:line="240" w:lineRule="auto"/>
        <w:jc w:val="both"/>
        <w:rPr>
          <w:rFonts w:ascii="Century Gothic" w:eastAsia="Century Gothic" w:hAnsi="Century Gothic" w:cs="Century Gothic"/>
        </w:rPr>
      </w:pPr>
    </w:p>
    <w:p w14:paraId="39DF500A"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lastRenderedPageBreak/>
        <w:t xml:space="preserve">When processing special categories of data both a lawful basis </w:t>
      </w:r>
      <w:r w:rsidRPr="00E31BD2">
        <w:rPr>
          <w:rFonts w:ascii="Century Gothic" w:hAnsi="Century Gothic"/>
          <w:u w:val="single"/>
        </w:rPr>
        <w:t>and</w:t>
      </w:r>
      <w:r w:rsidRPr="00E31BD2">
        <w:rPr>
          <w:rFonts w:ascii="Century Gothic" w:hAnsi="Century Gothic"/>
          <w:lang w:val="en-US"/>
        </w:rPr>
        <w:t xml:space="preserve"> an additional condition for processing must be identified.  The additional condition must be one of the following,</w:t>
      </w:r>
    </w:p>
    <w:p w14:paraId="470E6CC5" w14:textId="77777777" w:rsidR="00A27D56" w:rsidRPr="00E31BD2" w:rsidRDefault="00A27D56">
      <w:pPr>
        <w:pStyle w:val="Body"/>
        <w:spacing w:after="0" w:line="240" w:lineRule="auto"/>
        <w:jc w:val="both"/>
        <w:rPr>
          <w:rFonts w:ascii="Century Gothic" w:eastAsia="Century Gothic" w:hAnsi="Century Gothic" w:cs="Century Gothic"/>
        </w:rPr>
      </w:pPr>
    </w:p>
    <w:p w14:paraId="0F6F92F1"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Consent - The individual has given clear consent for processing their personal details for a specific purpose</w:t>
      </w:r>
    </w:p>
    <w:p w14:paraId="4664E511"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Legal Obligation (including contract) - The processing is necessary to comply with the law and to carry out the obligations of the controller and the data subject in the field of employment, social security and social protection law</w:t>
      </w:r>
    </w:p>
    <w:p w14:paraId="27B49BE3"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Vital Interests - The processing is necessary to protect someone’s life</w:t>
      </w:r>
    </w:p>
    <w:p w14:paraId="56CD1DB8"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Legitimate Interests - The processing is necessary for legitimate interests</w:t>
      </w:r>
    </w:p>
    <w:p w14:paraId="15F9F5E9"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Common Knowledge – The processing relates to personal data that the subject has already made overtly and clearly public</w:t>
      </w:r>
    </w:p>
    <w:p w14:paraId="315BABDC"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 xml:space="preserve">Legal </w:t>
      </w:r>
      <w:proofErr w:type="spellStart"/>
      <w:r w:rsidRPr="00E31BD2">
        <w:rPr>
          <w:rFonts w:ascii="Century Gothic" w:hAnsi="Century Gothic"/>
          <w:lang w:val="en-US"/>
        </w:rPr>
        <w:t>Defence</w:t>
      </w:r>
      <w:proofErr w:type="spellEnd"/>
      <w:r w:rsidRPr="00E31BD2">
        <w:rPr>
          <w:rFonts w:ascii="Century Gothic" w:hAnsi="Century Gothic"/>
          <w:lang w:val="en-US"/>
        </w:rPr>
        <w:t xml:space="preserve"> – The processing is necessary for the establishment, exercise or </w:t>
      </w:r>
      <w:proofErr w:type="spellStart"/>
      <w:r w:rsidRPr="00E31BD2">
        <w:rPr>
          <w:rFonts w:ascii="Century Gothic" w:hAnsi="Century Gothic"/>
          <w:lang w:val="en-US"/>
        </w:rPr>
        <w:t>defence</w:t>
      </w:r>
      <w:proofErr w:type="spellEnd"/>
      <w:r w:rsidRPr="00E31BD2">
        <w:rPr>
          <w:rFonts w:ascii="Century Gothic" w:hAnsi="Century Gothic"/>
          <w:lang w:val="en-US"/>
        </w:rPr>
        <w:t xml:space="preserve"> of legal claims or whenever courts are acting in their judicial capacity</w:t>
      </w:r>
    </w:p>
    <w:p w14:paraId="24DCE3F3"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Public Task - The processing is necessary to perform a task in the public interest or for official functions that have a clear basis in law</w:t>
      </w:r>
    </w:p>
    <w:p w14:paraId="4921B0A0"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Occupational Health – The processing is necessary for preventative or occupational health (subject to extra safeguards)</w:t>
      </w:r>
    </w:p>
    <w:p w14:paraId="2C81D1AD" w14:textId="77777777" w:rsidR="00A27D56" w:rsidRPr="00E31BD2" w:rsidRDefault="00000000">
      <w:pPr>
        <w:pStyle w:val="Body"/>
        <w:numPr>
          <w:ilvl w:val="0"/>
          <w:numId w:val="8"/>
        </w:numPr>
        <w:spacing w:after="0" w:line="240" w:lineRule="auto"/>
        <w:jc w:val="both"/>
        <w:rPr>
          <w:rFonts w:ascii="Century Gothic" w:hAnsi="Century Gothic"/>
          <w:lang w:val="en-US"/>
        </w:rPr>
      </w:pPr>
      <w:r w:rsidRPr="00E31BD2">
        <w:rPr>
          <w:rFonts w:ascii="Century Gothic" w:hAnsi="Century Gothic"/>
          <w:lang w:val="en-US"/>
        </w:rPr>
        <w:t>Public Health - The processing is necessary for reasons of public interest in the area of public health, such as protecting against serious cross border threats and ensuring high standards of heath care, medicinal products and medical devices</w:t>
      </w:r>
    </w:p>
    <w:p w14:paraId="0B55B4BD" w14:textId="77777777" w:rsidR="00A27D56" w:rsidRPr="00E31BD2" w:rsidRDefault="00000000">
      <w:pPr>
        <w:pStyle w:val="Body"/>
        <w:numPr>
          <w:ilvl w:val="0"/>
          <w:numId w:val="8"/>
        </w:numPr>
        <w:spacing w:after="0" w:line="240" w:lineRule="auto"/>
        <w:jc w:val="both"/>
        <w:rPr>
          <w:rFonts w:ascii="Century Gothic" w:hAnsi="Century Gothic"/>
          <w:lang w:val="it-IT"/>
        </w:rPr>
      </w:pPr>
      <w:r w:rsidRPr="00E31BD2">
        <w:rPr>
          <w:rFonts w:ascii="Century Gothic" w:hAnsi="Century Gothic"/>
          <w:lang w:val="it-IT"/>
        </w:rPr>
        <w:t xml:space="preserve">Archiving </w:t>
      </w:r>
      <w:r w:rsidRPr="00E31BD2">
        <w:rPr>
          <w:rFonts w:ascii="Century Gothic" w:hAnsi="Century Gothic"/>
          <w:lang w:val="en-US"/>
        </w:rPr>
        <w:t>– The processing is necessary for archiving purposes (subject to extra safeguards)</w:t>
      </w:r>
    </w:p>
    <w:p w14:paraId="720376CC" w14:textId="77777777" w:rsidR="00A27D56" w:rsidRPr="00E31BD2" w:rsidRDefault="00A27D56">
      <w:pPr>
        <w:pStyle w:val="Body"/>
        <w:spacing w:after="0" w:line="240" w:lineRule="auto"/>
        <w:ind w:left="720"/>
        <w:jc w:val="both"/>
        <w:rPr>
          <w:rFonts w:ascii="Century Gothic" w:eastAsia="Century Gothic" w:hAnsi="Century Gothic" w:cs="Century Gothic"/>
        </w:rPr>
      </w:pPr>
    </w:p>
    <w:p w14:paraId="09F15C89"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If you do not have a lawful basis, do not continue processing the information. </w:t>
      </w:r>
    </w:p>
    <w:p w14:paraId="0B77A0F4" w14:textId="77777777" w:rsidR="00A27D56" w:rsidRPr="00E31BD2" w:rsidRDefault="00A27D56">
      <w:pPr>
        <w:pStyle w:val="Body"/>
        <w:spacing w:after="0" w:line="240" w:lineRule="auto"/>
        <w:jc w:val="both"/>
        <w:rPr>
          <w:rFonts w:ascii="Century Gothic" w:eastAsia="Century Gothic" w:hAnsi="Century Gothic" w:cs="Century Gothic"/>
          <w:b/>
          <w:bCs/>
        </w:rPr>
      </w:pPr>
    </w:p>
    <w:p w14:paraId="0766786D" w14:textId="77777777" w:rsidR="00A27D56" w:rsidRPr="00E31BD2" w:rsidRDefault="00A27D56">
      <w:pPr>
        <w:pStyle w:val="Body"/>
        <w:spacing w:after="0" w:line="240" w:lineRule="auto"/>
        <w:jc w:val="both"/>
        <w:rPr>
          <w:rFonts w:ascii="Century Gothic" w:eastAsia="Century Gothic" w:hAnsi="Century Gothic" w:cs="Century Gothic"/>
          <w:b/>
          <w:bCs/>
        </w:rPr>
      </w:pPr>
    </w:p>
    <w:p w14:paraId="0126A187"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Personal data will be processed securely</w:t>
      </w:r>
    </w:p>
    <w:p w14:paraId="420F66CC" w14:textId="77777777" w:rsidR="00A27D56" w:rsidRPr="00E31BD2" w:rsidRDefault="00A27D56">
      <w:pPr>
        <w:pStyle w:val="Body"/>
        <w:spacing w:after="0" w:line="240" w:lineRule="auto"/>
        <w:jc w:val="both"/>
        <w:rPr>
          <w:rFonts w:ascii="Century Gothic" w:eastAsia="Century Gothic" w:hAnsi="Century Gothic" w:cs="Century Gothic"/>
          <w:b/>
          <w:bCs/>
        </w:rPr>
      </w:pPr>
    </w:p>
    <w:p w14:paraId="63E78723" w14:textId="626EB439"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Processing should ensure appropriate security of the personal data, including protection against </w:t>
      </w:r>
      <w:proofErr w:type="spellStart"/>
      <w:r w:rsidRPr="00E31BD2">
        <w:rPr>
          <w:rFonts w:ascii="Century Gothic" w:hAnsi="Century Gothic"/>
          <w:lang w:val="en-US"/>
        </w:rPr>
        <w:t>unauthorised</w:t>
      </w:r>
      <w:proofErr w:type="spellEnd"/>
      <w:r w:rsidRPr="00E31BD2">
        <w:rPr>
          <w:rFonts w:ascii="Century Gothic" w:hAnsi="Century Gothic"/>
          <w:lang w:val="en-US"/>
        </w:rPr>
        <w:t xml:space="preserve"> or unlawful processing and against accidental loss, destruction or damage, using appropriate technical or </w:t>
      </w:r>
      <w:proofErr w:type="spellStart"/>
      <w:r w:rsidRPr="00E31BD2">
        <w:rPr>
          <w:rFonts w:ascii="Century Gothic" w:hAnsi="Century Gothic"/>
          <w:lang w:val="en-US"/>
        </w:rPr>
        <w:t>organisational</w:t>
      </w:r>
      <w:proofErr w:type="spellEnd"/>
      <w:r w:rsidRPr="00E31BD2">
        <w:rPr>
          <w:rFonts w:ascii="Century Gothic" w:hAnsi="Century Gothic"/>
          <w:lang w:val="en-US"/>
        </w:rPr>
        <w:t xml:space="preserve"> measures. In practice,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has robust systems in place to ensure, as far as is reasonably practicable, that personal data is processed securely and stored in an appropriate manner. </w:t>
      </w:r>
    </w:p>
    <w:p w14:paraId="443825A7" w14:textId="77777777" w:rsidR="00A27D56" w:rsidRPr="00E31BD2" w:rsidRDefault="00A27D56">
      <w:pPr>
        <w:pStyle w:val="Body"/>
        <w:spacing w:after="0" w:line="240" w:lineRule="auto"/>
        <w:jc w:val="both"/>
        <w:rPr>
          <w:rFonts w:ascii="Century Gothic" w:eastAsia="Century Gothic" w:hAnsi="Century Gothic" w:cs="Century Gothic"/>
          <w:b/>
          <w:bCs/>
        </w:rPr>
      </w:pPr>
    </w:p>
    <w:p w14:paraId="39094CA3" w14:textId="77777777" w:rsidR="00A27D56" w:rsidRPr="00E31BD2" w:rsidRDefault="00A27D56">
      <w:pPr>
        <w:pStyle w:val="Body"/>
        <w:spacing w:after="0" w:line="240" w:lineRule="auto"/>
        <w:jc w:val="both"/>
        <w:rPr>
          <w:rFonts w:ascii="Century Gothic" w:eastAsia="Century Gothic" w:hAnsi="Century Gothic" w:cs="Century Gothic"/>
          <w:b/>
          <w:bCs/>
        </w:rPr>
      </w:pPr>
    </w:p>
    <w:p w14:paraId="34CDE24E"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Personal data will be collected for a specific reason and will not be processed further</w:t>
      </w:r>
    </w:p>
    <w:p w14:paraId="596FA30D" w14:textId="77777777" w:rsidR="00A27D56" w:rsidRPr="00E31BD2" w:rsidRDefault="00A27D56">
      <w:pPr>
        <w:pStyle w:val="Body"/>
        <w:spacing w:after="0" w:line="240" w:lineRule="auto"/>
        <w:jc w:val="both"/>
        <w:rPr>
          <w:rFonts w:ascii="Century Gothic" w:eastAsia="Century Gothic" w:hAnsi="Century Gothic" w:cs="Century Gothic"/>
          <w:b/>
          <w:bCs/>
        </w:rPr>
      </w:pPr>
    </w:p>
    <w:p w14:paraId="2ACF05F6"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Personal data will be collected for specified, explicit and legitimate purposes. The data will then only be processed in line with those purposes and not for any other reason unless there is specific consent to do so.</w:t>
      </w:r>
    </w:p>
    <w:p w14:paraId="632478D8" w14:textId="77777777" w:rsidR="00A27D56" w:rsidRPr="00E31BD2" w:rsidRDefault="00A27D56">
      <w:pPr>
        <w:pStyle w:val="Body"/>
        <w:spacing w:after="0" w:line="240" w:lineRule="auto"/>
        <w:jc w:val="both"/>
        <w:rPr>
          <w:rFonts w:ascii="Century Gothic" w:eastAsia="Century Gothic" w:hAnsi="Century Gothic" w:cs="Century Gothic"/>
          <w:b/>
          <w:bCs/>
        </w:rPr>
      </w:pPr>
    </w:p>
    <w:p w14:paraId="093CE571" w14:textId="77777777" w:rsidR="00A27D56" w:rsidRPr="00E31BD2" w:rsidRDefault="00A27D56">
      <w:pPr>
        <w:pStyle w:val="Body"/>
        <w:spacing w:after="0" w:line="240" w:lineRule="auto"/>
        <w:jc w:val="both"/>
        <w:rPr>
          <w:rFonts w:ascii="Century Gothic" w:eastAsia="Century Gothic" w:hAnsi="Century Gothic" w:cs="Century Gothic"/>
          <w:b/>
          <w:bCs/>
        </w:rPr>
      </w:pPr>
    </w:p>
    <w:p w14:paraId="003AD3E8"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Personal data will be adequate, relevant, and limited</w:t>
      </w:r>
    </w:p>
    <w:p w14:paraId="6BE01311" w14:textId="77777777" w:rsidR="00A27D56" w:rsidRPr="00E31BD2" w:rsidRDefault="00A27D56">
      <w:pPr>
        <w:pStyle w:val="Body"/>
        <w:spacing w:after="0" w:line="240" w:lineRule="auto"/>
        <w:jc w:val="both"/>
        <w:rPr>
          <w:rFonts w:ascii="Century Gothic" w:eastAsia="Century Gothic" w:hAnsi="Century Gothic" w:cs="Century Gothic"/>
          <w:b/>
          <w:bCs/>
        </w:rPr>
      </w:pPr>
    </w:p>
    <w:p w14:paraId="0E485E54" w14:textId="6FADE799" w:rsidR="00A27D56" w:rsidRPr="00E31BD2" w:rsidRDefault="000C2198">
      <w:pPr>
        <w:pStyle w:val="Body"/>
        <w:spacing w:after="0" w:line="240" w:lineRule="auto"/>
        <w:jc w:val="both"/>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will not collect unnecessary personal data. When collecting information, members of staff will only ask for enough information to fulfil the requirements of the specific task. </w:t>
      </w:r>
    </w:p>
    <w:p w14:paraId="57364835" w14:textId="3425DAB0" w:rsidR="00A27D56" w:rsidRPr="00E31BD2" w:rsidRDefault="000C2198">
      <w:pPr>
        <w:pStyle w:val="Body"/>
        <w:spacing w:after="0" w:line="240" w:lineRule="auto"/>
        <w:jc w:val="both"/>
        <w:rPr>
          <w:rFonts w:ascii="Century Gothic" w:eastAsia="Century Gothic" w:hAnsi="Century Gothic" w:cs="Century Gothic"/>
          <w:b/>
          <w:bCs/>
        </w:rPr>
      </w:pPr>
      <w:proofErr w:type="spellStart"/>
      <w:r w:rsidRPr="00E31BD2">
        <w:rPr>
          <w:rFonts w:ascii="Century Gothic" w:hAnsi="Century Gothic"/>
          <w:b/>
          <w:bCs/>
          <w:lang w:val="en-US"/>
        </w:rPr>
        <w:lastRenderedPageBreak/>
        <w:t>SENDhelp</w:t>
      </w:r>
      <w:proofErr w:type="spellEnd"/>
      <w:r w:rsidRPr="00E31BD2">
        <w:rPr>
          <w:rFonts w:ascii="Century Gothic" w:hAnsi="Century Gothic"/>
        </w:rPr>
        <w:t xml:space="preserve"> </w:t>
      </w:r>
      <w:r w:rsidRPr="00E31BD2">
        <w:rPr>
          <w:rFonts w:ascii="Century Gothic" w:hAnsi="Century Gothic"/>
          <w:b/>
          <w:bCs/>
          <w:lang w:val="en-US"/>
        </w:rPr>
        <w:t xml:space="preserve">will </w:t>
      </w:r>
      <w:proofErr w:type="spellStart"/>
      <w:r w:rsidRPr="00E31BD2">
        <w:rPr>
          <w:rFonts w:ascii="Century Gothic" w:hAnsi="Century Gothic"/>
          <w:b/>
          <w:bCs/>
          <w:lang w:val="en-US"/>
        </w:rPr>
        <w:t>utilise</w:t>
      </w:r>
      <w:proofErr w:type="spellEnd"/>
      <w:r w:rsidRPr="00E31BD2">
        <w:rPr>
          <w:rFonts w:ascii="Century Gothic" w:hAnsi="Century Gothic"/>
          <w:b/>
          <w:bCs/>
          <w:lang w:val="en-US"/>
        </w:rPr>
        <w:t xml:space="preserve"> a privacy notice</w:t>
      </w:r>
    </w:p>
    <w:p w14:paraId="587CF7E3" w14:textId="77777777" w:rsidR="00A27D56" w:rsidRPr="00E31BD2" w:rsidRDefault="00A27D56">
      <w:pPr>
        <w:pStyle w:val="Body"/>
        <w:spacing w:after="0" w:line="240" w:lineRule="auto"/>
        <w:jc w:val="both"/>
        <w:rPr>
          <w:rFonts w:ascii="Century Gothic" w:eastAsia="Century Gothic" w:hAnsi="Century Gothic" w:cs="Century Gothic"/>
          <w:b/>
          <w:bCs/>
        </w:rPr>
      </w:pPr>
    </w:p>
    <w:p w14:paraId="4D3EA91D" w14:textId="5273DB05"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The aim of the privacy notice is to inform data subjects, in a clear and transparent manner, of exactly why we are collecting their information and what we intend to do with it.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will display their privacy notice on the website and make hard copies available upon request.</w:t>
      </w:r>
    </w:p>
    <w:p w14:paraId="77EA9BB8" w14:textId="77777777" w:rsidR="00A27D56" w:rsidRPr="00E31BD2" w:rsidRDefault="00A27D56">
      <w:pPr>
        <w:pStyle w:val="Body"/>
        <w:spacing w:after="0" w:line="240" w:lineRule="auto"/>
        <w:jc w:val="both"/>
        <w:rPr>
          <w:rFonts w:ascii="Century Gothic" w:eastAsia="Century Gothic" w:hAnsi="Century Gothic" w:cs="Century Gothic"/>
        </w:rPr>
      </w:pPr>
    </w:p>
    <w:p w14:paraId="7E64C80B" w14:textId="77777777" w:rsidR="00A27D56" w:rsidRPr="00E31BD2" w:rsidRDefault="00A27D56">
      <w:pPr>
        <w:pStyle w:val="Body"/>
        <w:spacing w:after="0" w:line="240" w:lineRule="auto"/>
        <w:jc w:val="both"/>
        <w:rPr>
          <w:rFonts w:ascii="Century Gothic" w:eastAsia="Century Gothic" w:hAnsi="Century Gothic" w:cs="Century Gothic"/>
        </w:rPr>
      </w:pPr>
    </w:p>
    <w:p w14:paraId="7B5B44E7"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 xml:space="preserve">Personal data will be accurate </w:t>
      </w:r>
    </w:p>
    <w:p w14:paraId="776F5C4F" w14:textId="77777777" w:rsidR="00A27D56" w:rsidRPr="00E31BD2" w:rsidRDefault="00A27D56">
      <w:pPr>
        <w:pStyle w:val="Body"/>
        <w:spacing w:after="0" w:line="240" w:lineRule="auto"/>
        <w:jc w:val="both"/>
        <w:rPr>
          <w:rFonts w:ascii="Century Gothic" w:eastAsia="Century Gothic" w:hAnsi="Century Gothic" w:cs="Century Gothic"/>
          <w:b/>
          <w:bCs/>
        </w:rPr>
      </w:pPr>
    </w:p>
    <w:p w14:paraId="06352F6D"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Members of staff will take every reasonably practicable step to ensure that personal data is accurate and up to date. Staff must always make reasonable steps towards rectifying or deleting incorrect information as soon as possible. Individuals have a right to have their information deleted, however from a service provision perspective there are also rules about duty of care and archiving. Members of staff are responsible for ensuring that their own personal HR records remain up to date.</w:t>
      </w:r>
    </w:p>
    <w:p w14:paraId="41690B4A" w14:textId="77777777" w:rsidR="00A27D56" w:rsidRPr="00E31BD2" w:rsidRDefault="00A27D56">
      <w:pPr>
        <w:pStyle w:val="Body"/>
        <w:spacing w:after="0" w:line="240" w:lineRule="auto"/>
        <w:jc w:val="both"/>
        <w:rPr>
          <w:rFonts w:ascii="Century Gothic" w:eastAsia="Century Gothic" w:hAnsi="Century Gothic" w:cs="Century Gothic"/>
          <w:b/>
          <w:bCs/>
        </w:rPr>
      </w:pPr>
    </w:p>
    <w:p w14:paraId="75E2F38A" w14:textId="77777777" w:rsidR="00A27D56" w:rsidRPr="00E31BD2" w:rsidRDefault="00A27D56">
      <w:pPr>
        <w:pStyle w:val="Body"/>
        <w:spacing w:after="0" w:line="240" w:lineRule="auto"/>
        <w:jc w:val="both"/>
        <w:rPr>
          <w:rFonts w:ascii="Century Gothic" w:eastAsia="Century Gothic" w:hAnsi="Century Gothic" w:cs="Century Gothic"/>
          <w:b/>
          <w:bCs/>
        </w:rPr>
      </w:pPr>
    </w:p>
    <w:p w14:paraId="1EA5F749"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 xml:space="preserve">Personal data will be stored appropriately </w:t>
      </w:r>
    </w:p>
    <w:p w14:paraId="600C72A0" w14:textId="77777777" w:rsidR="00A27D56" w:rsidRPr="00E31BD2" w:rsidRDefault="00A27D56">
      <w:pPr>
        <w:pStyle w:val="Body"/>
        <w:spacing w:after="0" w:line="240" w:lineRule="auto"/>
        <w:jc w:val="both"/>
        <w:rPr>
          <w:rFonts w:ascii="Century Gothic" w:eastAsia="Century Gothic" w:hAnsi="Century Gothic" w:cs="Century Gothic"/>
        </w:rPr>
      </w:pPr>
    </w:p>
    <w:p w14:paraId="58964C6D"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Any personal data must be stored in a secure and confidential manner, with permission to access the information only available to those for whom it is necessary. Appropriate storage includes the online server for digital files, which is only accessible via password protected computers, and locked cabinets for hard copy information. Personal data must not be stored on computer desktops, in files on open shelves, or in unlocked cabinets. Any personal data that can be used to identify individuals will be kept for the least amount of time possible, prior to destruction. This will consider statutory timeframes for data retention. All members of staff are required to adhere to the </w:t>
      </w:r>
      <w:proofErr w:type="spellStart"/>
      <w:r w:rsidRPr="00E31BD2">
        <w:rPr>
          <w:rFonts w:ascii="Century Gothic" w:hAnsi="Century Gothic"/>
          <w:lang w:val="en-US"/>
        </w:rPr>
        <w:t>organisation’s</w:t>
      </w:r>
      <w:proofErr w:type="spellEnd"/>
      <w:r w:rsidRPr="00E31BD2">
        <w:rPr>
          <w:rFonts w:ascii="Century Gothic" w:hAnsi="Century Gothic"/>
          <w:lang w:val="en-US"/>
        </w:rPr>
        <w:t xml:space="preserve"> retention schedule.</w:t>
      </w:r>
    </w:p>
    <w:p w14:paraId="18FEC572" w14:textId="77777777" w:rsidR="00A27D56" w:rsidRPr="00E31BD2" w:rsidRDefault="00A27D56">
      <w:pPr>
        <w:pStyle w:val="Body"/>
        <w:spacing w:after="0" w:line="240" w:lineRule="auto"/>
        <w:jc w:val="both"/>
        <w:rPr>
          <w:rFonts w:ascii="Century Gothic" w:eastAsia="Century Gothic" w:hAnsi="Century Gothic" w:cs="Century Gothic"/>
        </w:rPr>
      </w:pPr>
    </w:p>
    <w:p w14:paraId="00E963B6" w14:textId="77777777" w:rsidR="00A27D56" w:rsidRPr="00E31BD2" w:rsidRDefault="00A27D56">
      <w:pPr>
        <w:pStyle w:val="Body"/>
        <w:spacing w:after="0" w:line="240" w:lineRule="auto"/>
        <w:jc w:val="both"/>
        <w:rPr>
          <w:rFonts w:ascii="Century Gothic" w:eastAsia="Century Gothic" w:hAnsi="Century Gothic" w:cs="Century Gothic"/>
          <w:b/>
          <w:bCs/>
        </w:rPr>
      </w:pPr>
    </w:p>
    <w:p w14:paraId="14A2E090"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 xml:space="preserve">Personal data will be archived appropriately </w:t>
      </w:r>
    </w:p>
    <w:p w14:paraId="478DA491" w14:textId="77777777" w:rsidR="00A27D56" w:rsidRPr="00E31BD2" w:rsidRDefault="00A27D56">
      <w:pPr>
        <w:pStyle w:val="Body"/>
        <w:spacing w:after="0" w:line="240" w:lineRule="auto"/>
        <w:jc w:val="both"/>
        <w:rPr>
          <w:rFonts w:ascii="Century Gothic" w:eastAsia="Century Gothic" w:hAnsi="Century Gothic" w:cs="Century Gothic"/>
          <w:b/>
          <w:bCs/>
        </w:rPr>
      </w:pPr>
    </w:p>
    <w:p w14:paraId="1FEF331F"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Prior to archiving information, members of staff must refer to the retention schedule and </w:t>
      </w:r>
      <w:proofErr w:type="spellStart"/>
      <w:r w:rsidRPr="00E31BD2">
        <w:rPr>
          <w:rFonts w:ascii="Century Gothic" w:hAnsi="Century Gothic"/>
          <w:lang w:val="en-US"/>
        </w:rPr>
        <w:t>minimise</w:t>
      </w:r>
      <w:proofErr w:type="spellEnd"/>
      <w:r w:rsidRPr="00E31BD2">
        <w:rPr>
          <w:rFonts w:ascii="Century Gothic" w:hAnsi="Century Gothic"/>
          <w:lang w:val="en-US"/>
        </w:rPr>
        <w:t xml:space="preserve"> the data being stored in accordance with the law. </w:t>
      </w:r>
    </w:p>
    <w:p w14:paraId="3688DF5D" w14:textId="77777777" w:rsidR="00A27D56" w:rsidRPr="00E31BD2" w:rsidRDefault="00A27D56">
      <w:pPr>
        <w:pStyle w:val="Body"/>
        <w:spacing w:after="0" w:line="240" w:lineRule="auto"/>
        <w:jc w:val="both"/>
        <w:rPr>
          <w:rFonts w:ascii="Century Gothic" w:eastAsia="Century Gothic" w:hAnsi="Century Gothic" w:cs="Century Gothic"/>
          <w:b/>
          <w:bCs/>
        </w:rPr>
      </w:pPr>
    </w:p>
    <w:p w14:paraId="3BEDC7FB" w14:textId="77777777" w:rsidR="00A27D56" w:rsidRPr="00E31BD2" w:rsidRDefault="00A27D56">
      <w:pPr>
        <w:pStyle w:val="Body"/>
        <w:spacing w:after="0" w:line="240" w:lineRule="auto"/>
        <w:jc w:val="both"/>
        <w:rPr>
          <w:rFonts w:ascii="Century Gothic" w:eastAsia="Century Gothic" w:hAnsi="Century Gothic" w:cs="Century Gothic"/>
          <w:b/>
          <w:bCs/>
        </w:rPr>
      </w:pPr>
    </w:p>
    <w:p w14:paraId="2C1DAFD1"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Personal data will be destroyed appropriately</w:t>
      </w:r>
    </w:p>
    <w:p w14:paraId="09EEB148" w14:textId="77777777" w:rsidR="00A27D56" w:rsidRPr="00E31BD2" w:rsidRDefault="00A27D56">
      <w:pPr>
        <w:pStyle w:val="Body"/>
        <w:spacing w:after="0" w:line="240" w:lineRule="auto"/>
        <w:jc w:val="both"/>
        <w:rPr>
          <w:rFonts w:ascii="Century Gothic" w:eastAsia="Century Gothic" w:hAnsi="Century Gothic" w:cs="Century Gothic"/>
          <w:b/>
          <w:bCs/>
        </w:rPr>
      </w:pPr>
    </w:p>
    <w:p w14:paraId="2513CE28" w14:textId="1E4488C6"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Personal data must be destroyed appropriately, within the correct timescale to comply with the UK General Data Protection Regulations. At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this means first checking an appropriate retention schedule to ensure that the data can be destroyed, and that it does not need to be archived. Equally, for data that is already archived, an appropriate retention schedule must be consulted to ensure that information is destroyed within statutory timescales. </w:t>
      </w:r>
    </w:p>
    <w:p w14:paraId="03D89473" w14:textId="77777777" w:rsidR="00A27D56" w:rsidRPr="00E31BD2" w:rsidRDefault="00A27D56">
      <w:pPr>
        <w:pStyle w:val="Body"/>
        <w:spacing w:after="0" w:line="240" w:lineRule="auto"/>
        <w:jc w:val="both"/>
        <w:rPr>
          <w:rFonts w:ascii="Century Gothic" w:eastAsia="Century Gothic" w:hAnsi="Century Gothic" w:cs="Century Gothic"/>
        </w:rPr>
      </w:pPr>
    </w:p>
    <w:p w14:paraId="26C3B0EF"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3C677A4B"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68CB754C"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605FCD95"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565EB953"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5EE9001F"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rPr>
        <w:lastRenderedPageBreak/>
        <w:t>CONSENT</w:t>
      </w:r>
    </w:p>
    <w:p w14:paraId="2BB684A6" w14:textId="77777777" w:rsidR="00A27D56" w:rsidRPr="00E31BD2" w:rsidRDefault="00A27D56">
      <w:pPr>
        <w:pStyle w:val="Body"/>
        <w:spacing w:after="0" w:line="240" w:lineRule="auto"/>
        <w:jc w:val="both"/>
        <w:rPr>
          <w:rFonts w:ascii="Century Gothic" w:eastAsia="Century Gothic" w:hAnsi="Century Gothic" w:cs="Century Gothic"/>
          <w:b/>
          <w:bCs/>
        </w:rPr>
      </w:pPr>
    </w:p>
    <w:p w14:paraId="140B908D"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Obtaining consent</w:t>
      </w:r>
    </w:p>
    <w:p w14:paraId="1AB52633" w14:textId="77777777" w:rsidR="00A27D56" w:rsidRPr="00E31BD2" w:rsidRDefault="00A27D56">
      <w:pPr>
        <w:pStyle w:val="Body"/>
        <w:spacing w:after="0" w:line="240" w:lineRule="auto"/>
        <w:jc w:val="both"/>
        <w:rPr>
          <w:rFonts w:ascii="Century Gothic" w:eastAsia="Century Gothic" w:hAnsi="Century Gothic" w:cs="Century Gothic"/>
          <w:b/>
          <w:bCs/>
        </w:rPr>
      </w:pPr>
    </w:p>
    <w:p w14:paraId="3287361D"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To comply with the law, consent must be freely given, verifiable, specific, informed, and unambiguous. Members of staff must use clear, plain language when discussing and obtaining consent. Consent must be a positive indication of the person’s wishes, meaning that people must opt in to giving consent, it must not be inferred from silence or assumed that the person consents unless they opt out; this is not legal. Consent must also be granular. This means that, where appropriate, consent should be collected for different types of processing. Consent should not be ‘</w:t>
      </w:r>
      <w:r w:rsidRPr="00E31BD2">
        <w:rPr>
          <w:rFonts w:ascii="Century Gothic" w:hAnsi="Century Gothic"/>
          <w:lang w:val="da-DK"/>
        </w:rPr>
        <w:t>bundled</w:t>
      </w:r>
      <w:r w:rsidRPr="00E31BD2">
        <w:rPr>
          <w:rFonts w:ascii="Century Gothic" w:hAnsi="Century Gothic"/>
          <w:lang w:val="en-US"/>
        </w:rPr>
        <w:t xml:space="preserve">’ into one decision and signature. For example, consent to HR data processing does not imply consent for fundraising data processing – this must be separate. </w:t>
      </w:r>
    </w:p>
    <w:p w14:paraId="0833CA3C" w14:textId="77777777" w:rsidR="00A27D56" w:rsidRPr="00E31BD2" w:rsidRDefault="00A27D56">
      <w:pPr>
        <w:pStyle w:val="Body"/>
        <w:spacing w:after="0" w:line="240" w:lineRule="auto"/>
        <w:jc w:val="both"/>
        <w:rPr>
          <w:rFonts w:ascii="Century Gothic" w:eastAsia="Century Gothic" w:hAnsi="Century Gothic" w:cs="Century Gothic"/>
        </w:rPr>
      </w:pPr>
    </w:p>
    <w:p w14:paraId="45E20F27" w14:textId="77777777" w:rsidR="00A27D56" w:rsidRPr="00E31BD2" w:rsidRDefault="00A27D56">
      <w:pPr>
        <w:pStyle w:val="Body"/>
        <w:spacing w:after="0" w:line="240" w:lineRule="auto"/>
        <w:jc w:val="both"/>
        <w:rPr>
          <w:rFonts w:ascii="Century Gothic" w:eastAsia="Century Gothic" w:hAnsi="Century Gothic" w:cs="Century Gothic"/>
          <w:b/>
          <w:bCs/>
        </w:rPr>
      </w:pPr>
    </w:p>
    <w:p w14:paraId="0C6C1D38"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Recording consent</w:t>
      </w:r>
    </w:p>
    <w:p w14:paraId="2AA99CDA" w14:textId="77777777" w:rsidR="00A27D56" w:rsidRPr="00E31BD2" w:rsidRDefault="00A27D56">
      <w:pPr>
        <w:pStyle w:val="Body"/>
        <w:spacing w:after="0" w:line="240" w:lineRule="auto"/>
        <w:jc w:val="both"/>
        <w:rPr>
          <w:rFonts w:ascii="Century Gothic" w:eastAsia="Century Gothic" w:hAnsi="Century Gothic" w:cs="Century Gothic"/>
        </w:rPr>
      </w:pPr>
    </w:p>
    <w:p w14:paraId="47F310D1"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Decisions and discussions pertaining to consent must always be accurately and appropriately recorded in the relevant place to ensure that members of staff are always able to demonstrate that consent was given by the individual. Discussions about consent should be documented, alongside decisions made. It is not enough to simply record the </w:t>
      </w:r>
      <w:proofErr w:type="gramStart"/>
      <w:r w:rsidRPr="00E31BD2">
        <w:rPr>
          <w:rFonts w:ascii="Century Gothic" w:hAnsi="Century Gothic"/>
          <w:lang w:val="en-US"/>
        </w:rPr>
        <w:t>decision,</w:t>
      </w:r>
      <w:proofErr w:type="gramEnd"/>
      <w:r w:rsidRPr="00E31BD2">
        <w:rPr>
          <w:rFonts w:ascii="Century Gothic" w:hAnsi="Century Gothic"/>
          <w:lang w:val="en-US"/>
        </w:rPr>
        <w:t xml:space="preserve"> there must also be evidence of a discussion to help the person to understand and to make an informed choice.</w:t>
      </w:r>
    </w:p>
    <w:p w14:paraId="52D8EF8D" w14:textId="77777777" w:rsidR="00A27D56" w:rsidRPr="00E31BD2" w:rsidRDefault="00A27D56">
      <w:pPr>
        <w:pStyle w:val="Body"/>
        <w:spacing w:after="0" w:line="240" w:lineRule="auto"/>
        <w:jc w:val="both"/>
        <w:rPr>
          <w:rFonts w:ascii="Century Gothic" w:eastAsia="Century Gothic" w:hAnsi="Century Gothic" w:cs="Century Gothic"/>
        </w:rPr>
      </w:pPr>
    </w:p>
    <w:p w14:paraId="676AD4F4" w14:textId="77777777" w:rsidR="00A27D56" w:rsidRPr="00E31BD2" w:rsidRDefault="00A27D56">
      <w:pPr>
        <w:pStyle w:val="Body"/>
        <w:spacing w:after="0" w:line="240" w:lineRule="auto"/>
        <w:jc w:val="both"/>
        <w:rPr>
          <w:rFonts w:ascii="Century Gothic" w:eastAsia="Century Gothic" w:hAnsi="Century Gothic" w:cs="Century Gothic"/>
          <w:b/>
          <w:bCs/>
        </w:rPr>
      </w:pPr>
    </w:p>
    <w:p w14:paraId="08788197"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Refusal or withdrawal of consent</w:t>
      </w:r>
    </w:p>
    <w:p w14:paraId="12103561" w14:textId="77777777" w:rsidR="00A27D56" w:rsidRPr="00E31BD2" w:rsidRDefault="00A27D56">
      <w:pPr>
        <w:pStyle w:val="Body"/>
        <w:spacing w:after="0" w:line="240" w:lineRule="auto"/>
        <w:jc w:val="both"/>
        <w:rPr>
          <w:rFonts w:ascii="Century Gothic" w:eastAsia="Century Gothic" w:hAnsi="Century Gothic" w:cs="Century Gothic"/>
        </w:rPr>
      </w:pPr>
    </w:p>
    <w:p w14:paraId="12DC9492" w14:textId="1BE243A4" w:rsidR="00A27D56" w:rsidRPr="00E31BD2" w:rsidRDefault="000C2198">
      <w:pPr>
        <w:pStyle w:val="Body"/>
        <w:spacing w:after="0" w:line="240" w:lineRule="auto"/>
        <w:jc w:val="both"/>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fully understands that individuals have the right to refuse to consent to data processing or to withdraw their consent at any time; and that it must be easy for them to do so. Decisions and discussions pertaining to refusal or withdrawal of consent must always be accurately and appropriately recorded in the relevant place. </w:t>
      </w:r>
    </w:p>
    <w:p w14:paraId="333C5FB6" w14:textId="77777777" w:rsidR="00A27D56" w:rsidRPr="00E31BD2" w:rsidRDefault="00A27D56">
      <w:pPr>
        <w:pStyle w:val="Body"/>
        <w:spacing w:after="0" w:line="240" w:lineRule="auto"/>
        <w:jc w:val="both"/>
        <w:rPr>
          <w:rFonts w:ascii="Century Gothic" w:eastAsia="Century Gothic" w:hAnsi="Century Gothic" w:cs="Century Gothic"/>
        </w:rPr>
      </w:pPr>
    </w:p>
    <w:p w14:paraId="2E308536" w14:textId="6DD6CA08" w:rsidR="00A27D56" w:rsidRPr="00E31BD2" w:rsidRDefault="000C2198">
      <w:pPr>
        <w:pStyle w:val="Body"/>
        <w:spacing w:after="0" w:line="240" w:lineRule="auto"/>
        <w:jc w:val="both"/>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understands that there are certain situations in which services cannot be provided without processing an individual’s personal data. For example, payroll would be unable to pay staff members without holding some of their personal data. It is reasonable, within the law, to explain the consequences of refusing to consent to data processing. </w:t>
      </w:r>
    </w:p>
    <w:p w14:paraId="16733605"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5CEC29A4"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Withdrawal of consent does not affect the lawfulness of processing prior to consent being withdrawn, but were reasonably practicable, it should be stopped immediately. </w:t>
      </w:r>
    </w:p>
    <w:p w14:paraId="6B0671E2"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714BEE39"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08FEFC1E"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391AC4AB"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52F7AFAF"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031BA512"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56984482"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2A890613"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65BABF06"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483F24E4"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rPr>
        <w:lastRenderedPageBreak/>
        <w:t>INDIVIDUAL RIGHTS</w:t>
      </w:r>
    </w:p>
    <w:p w14:paraId="39772541" w14:textId="77777777" w:rsidR="00A27D56" w:rsidRPr="00E31BD2" w:rsidRDefault="00A27D56">
      <w:pPr>
        <w:pStyle w:val="Body"/>
        <w:spacing w:after="0" w:line="240" w:lineRule="auto"/>
        <w:jc w:val="both"/>
        <w:rPr>
          <w:rFonts w:ascii="Century Gothic" w:eastAsia="Century Gothic" w:hAnsi="Century Gothic" w:cs="Century Gothic"/>
          <w:b/>
          <w:bCs/>
        </w:rPr>
      </w:pPr>
    </w:p>
    <w:p w14:paraId="2ADD1411"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The right to be informed</w:t>
      </w:r>
    </w:p>
    <w:p w14:paraId="7E57A7C3" w14:textId="77777777" w:rsidR="00A27D56" w:rsidRPr="00E31BD2" w:rsidRDefault="00A27D56">
      <w:pPr>
        <w:pStyle w:val="Body"/>
        <w:spacing w:after="0" w:line="240" w:lineRule="auto"/>
        <w:jc w:val="both"/>
        <w:rPr>
          <w:rFonts w:ascii="Century Gothic" w:eastAsia="Century Gothic" w:hAnsi="Century Gothic" w:cs="Century Gothic"/>
          <w:b/>
          <w:bCs/>
        </w:rPr>
      </w:pPr>
    </w:p>
    <w:p w14:paraId="03CBF102"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When a member of staff collects personal data, the person to whom the data belongs must be provided with specific information at the point of contact, such as, why it is being collected, how it will be processed, how long it will be kept for and what to do to access, amend or object to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processing the information further. To fulfil this aspect of the legislation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will make available a privacy notice and associated information that is accessible to people of all ages and literary ability. </w:t>
      </w:r>
    </w:p>
    <w:p w14:paraId="41E9954B" w14:textId="77777777" w:rsidR="00A27D56" w:rsidRPr="00E31BD2" w:rsidRDefault="00A27D56">
      <w:pPr>
        <w:pStyle w:val="Body"/>
        <w:spacing w:after="0" w:line="240" w:lineRule="auto"/>
        <w:jc w:val="both"/>
        <w:rPr>
          <w:rFonts w:ascii="Century Gothic" w:eastAsia="Century Gothic" w:hAnsi="Century Gothic" w:cs="Century Gothic"/>
        </w:rPr>
      </w:pPr>
    </w:p>
    <w:p w14:paraId="39114799"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t>The right to access, amend and erase information</w:t>
      </w:r>
    </w:p>
    <w:p w14:paraId="66F47AE4" w14:textId="77777777" w:rsidR="00A27D56" w:rsidRPr="00E31BD2" w:rsidRDefault="00A27D56">
      <w:pPr>
        <w:pStyle w:val="Body"/>
        <w:spacing w:after="0" w:line="240" w:lineRule="auto"/>
        <w:jc w:val="both"/>
        <w:rPr>
          <w:rFonts w:ascii="Century Gothic" w:eastAsia="Century Gothic" w:hAnsi="Century Gothic" w:cs="Century Gothic"/>
          <w:b/>
          <w:bCs/>
        </w:rPr>
      </w:pPr>
    </w:p>
    <w:p w14:paraId="4C1B7384" w14:textId="0B116221"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lang w:val="en-US"/>
        </w:rPr>
        <w:t xml:space="preserve">Individuals have the right to access their own information so that they can verify the accuracy of the data held about them and the lawfulness of the processing. This is called a subject access request. Anyone who wishes to access their own personal information must do so in writing (email or post) to </w:t>
      </w:r>
      <w:r w:rsidR="000C2198" w:rsidRPr="00E31BD2">
        <w:rPr>
          <w:rFonts w:ascii="Century Gothic" w:hAnsi="Century Gothic"/>
          <w:lang w:val="en-US"/>
        </w:rPr>
        <w:t>Alexa Woodcock</w:t>
      </w:r>
      <w:r w:rsidRPr="00E31BD2">
        <w:rPr>
          <w:rFonts w:ascii="Century Gothic" w:hAnsi="Century Gothic"/>
          <w:lang w:val="en-US"/>
        </w:rPr>
        <w:t xml:space="preserve">. It is the responsibility of </w:t>
      </w:r>
      <w:r w:rsidR="000C2198" w:rsidRPr="00E31BD2">
        <w:rPr>
          <w:rFonts w:ascii="Century Gothic" w:hAnsi="Century Gothic"/>
          <w:lang w:val="en-US"/>
        </w:rPr>
        <w:t>Alexa Woodcock</w:t>
      </w:r>
      <w:r w:rsidRPr="00E31BD2">
        <w:rPr>
          <w:rFonts w:ascii="Century Gothic" w:hAnsi="Century Gothic"/>
          <w:lang w:val="en-US"/>
        </w:rPr>
        <w:t xml:space="preserve"> to take all reasonably practicable steps to verify the identification of the person making the request. </w:t>
      </w:r>
    </w:p>
    <w:p w14:paraId="542B5E00" w14:textId="77777777" w:rsidR="00A27D56" w:rsidRPr="00E31BD2" w:rsidRDefault="00A27D56">
      <w:pPr>
        <w:pStyle w:val="Body"/>
        <w:spacing w:after="0" w:line="240" w:lineRule="auto"/>
        <w:jc w:val="both"/>
        <w:rPr>
          <w:rFonts w:ascii="Century Gothic" w:eastAsia="Century Gothic" w:hAnsi="Century Gothic" w:cs="Century Gothic"/>
        </w:rPr>
      </w:pPr>
    </w:p>
    <w:p w14:paraId="1EC2180B" w14:textId="0E228C7F"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Typically, copies of records will be provided free of charge, within 28 calendar days; however, the Data Protection Officer reserves the right to charge the person if their requests for information are manifestly excessive or unfounded.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does not have a blanket policy for determining whether a request is manifestly unfounded or excessive. Each request is considered on a case-by-case basis and decision making must be demonstrable and recorded in writing. Where a request is denied on the grounds that it is manifestly unfounded or excessive, the Data Protection Officer will inform the individual of the reasons for refusing the request, their right to make a complaint to the ICO, and their ability to enforce the right through a judicial remedy.</w:t>
      </w:r>
    </w:p>
    <w:p w14:paraId="17212302" w14:textId="77777777" w:rsidR="00A27D56" w:rsidRPr="00E31BD2" w:rsidRDefault="00A27D56">
      <w:pPr>
        <w:pStyle w:val="Body"/>
        <w:spacing w:after="0" w:line="240" w:lineRule="auto"/>
        <w:jc w:val="both"/>
        <w:rPr>
          <w:rFonts w:ascii="Century Gothic" w:eastAsia="Century Gothic" w:hAnsi="Century Gothic" w:cs="Century Gothic"/>
        </w:rPr>
      </w:pPr>
    </w:p>
    <w:p w14:paraId="6D48C25D"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Staff members must not release information without </w:t>
      </w:r>
      <w:proofErr w:type="spellStart"/>
      <w:r w:rsidRPr="00E31BD2">
        <w:rPr>
          <w:rFonts w:ascii="Century Gothic" w:hAnsi="Century Gothic"/>
          <w:lang w:val="en-US"/>
        </w:rPr>
        <w:t>authorisation</w:t>
      </w:r>
      <w:proofErr w:type="spellEnd"/>
      <w:r w:rsidRPr="00E31BD2">
        <w:rPr>
          <w:rFonts w:ascii="Century Gothic" w:hAnsi="Century Gothic"/>
          <w:lang w:val="en-US"/>
        </w:rPr>
        <w:t xml:space="preserve"> to do so from the Data Protection Officer.</w:t>
      </w:r>
    </w:p>
    <w:p w14:paraId="1B55644C" w14:textId="77777777" w:rsidR="00A27D56" w:rsidRPr="00E31BD2" w:rsidRDefault="00A27D56">
      <w:pPr>
        <w:pStyle w:val="Body"/>
        <w:spacing w:after="0" w:line="240" w:lineRule="auto"/>
        <w:jc w:val="both"/>
        <w:rPr>
          <w:rFonts w:ascii="Century Gothic" w:eastAsia="Century Gothic" w:hAnsi="Century Gothic" w:cs="Century Gothic"/>
        </w:rPr>
      </w:pPr>
    </w:p>
    <w:p w14:paraId="35F56A7D"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Individuals, who discover that information held about them is either incorrect or incomplete, have a right to rectification. This means the data must be corrected. It is policy that the details of the rectification must be recorded in the appropriate place; to include the change made, who made the change, when and why. Individuals also have the right to be ‘forgotten’, meaning that they can request that their personal information be erased. There are very specific rules about erasing records; prior to doing so all members should speak with the Data Protection Officer.</w:t>
      </w:r>
    </w:p>
    <w:p w14:paraId="2302FDB3" w14:textId="77777777" w:rsidR="00A27D56" w:rsidRPr="00E31BD2" w:rsidRDefault="00A27D56">
      <w:pPr>
        <w:pStyle w:val="Body"/>
        <w:spacing w:after="0" w:line="240" w:lineRule="auto"/>
        <w:jc w:val="both"/>
        <w:rPr>
          <w:rFonts w:ascii="Century Gothic" w:eastAsia="Century Gothic" w:hAnsi="Century Gothic" w:cs="Century Gothic"/>
        </w:rPr>
      </w:pPr>
    </w:p>
    <w:p w14:paraId="44CB9006"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Where the personal data in question has been disclosed to third parties, it is the responsibility of the Data Protection Officer to communicate any rectification, erasure or restriction of processing to each of those third-party recipients; unless this is impossible or involves disproportionate effort. If the person to whom the data belongs, requests to know which third parties are involved, the Data Protection Officer must provide them with this information.</w:t>
      </w:r>
    </w:p>
    <w:p w14:paraId="50610168"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rPr>
        <w:t xml:space="preserve"> </w:t>
      </w:r>
    </w:p>
    <w:p w14:paraId="347FDAB5"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The Data Protection Officer reserves the right to refuse a request to access personal data if the requests are considered excessive or unreasonable. </w:t>
      </w:r>
    </w:p>
    <w:p w14:paraId="27F6291F"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lastRenderedPageBreak/>
        <w:t xml:space="preserve">They also reserve the right to refuse to amend or erase personal data, especially regarding service provision and employment records as there are statutory regulations relating to this. </w:t>
      </w:r>
    </w:p>
    <w:p w14:paraId="29945C29" w14:textId="77777777" w:rsidR="00A27D56" w:rsidRPr="00E31BD2" w:rsidRDefault="00A27D56">
      <w:pPr>
        <w:pStyle w:val="Body"/>
        <w:spacing w:after="0" w:line="240" w:lineRule="auto"/>
        <w:jc w:val="both"/>
        <w:rPr>
          <w:rFonts w:ascii="Century Gothic" w:eastAsia="Century Gothic" w:hAnsi="Century Gothic" w:cs="Century Gothic"/>
          <w:b/>
          <w:bCs/>
        </w:rPr>
      </w:pPr>
    </w:p>
    <w:p w14:paraId="3BA058D4" w14:textId="77777777" w:rsidR="00A27D56" w:rsidRPr="00E31BD2" w:rsidRDefault="00A27D56">
      <w:pPr>
        <w:pStyle w:val="Body"/>
        <w:spacing w:after="0" w:line="240" w:lineRule="auto"/>
        <w:jc w:val="both"/>
        <w:rPr>
          <w:rFonts w:ascii="Century Gothic" w:eastAsia="Century Gothic" w:hAnsi="Century Gothic" w:cs="Century Gothic"/>
          <w:b/>
          <w:bCs/>
        </w:rPr>
      </w:pPr>
    </w:p>
    <w:p w14:paraId="117C7EE1"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b/>
          <w:bCs/>
          <w:lang w:val="en-US"/>
        </w:rPr>
        <w:t>The right to restrict, or object to, processing</w:t>
      </w:r>
    </w:p>
    <w:p w14:paraId="701C4A9D" w14:textId="77777777" w:rsidR="00A27D56" w:rsidRPr="00E31BD2" w:rsidRDefault="00A27D56">
      <w:pPr>
        <w:pStyle w:val="Body"/>
        <w:spacing w:after="0" w:line="240" w:lineRule="auto"/>
        <w:jc w:val="both"/>
        <w:rPr>
          <w:rFonts w:ascii="Century Gothic" w:eastAsia="Century Gothic" w:hAnsi="Century Gothic" w:cs="Century Gothic"/>
        </w:rPr>
      </w:pPr>
    </w:p>
    <w:p w14:paraId="086750D1" w14:textId="3A2590FE" w:rsidR="00A27D56" w:rsidRPr="00E31BD2" w:rsidRDefault="000C2198">
      <w:pPr>
        <w:pStyle w:val="Body"/>
        <w:spacing w:after="0" w:line="240" w:lineRule="auto"/>
        <w:jc w:val="both"/>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fully understands that, in specific circumstances, individuals can request that the processing of their information is restricted; or they can object to processing all together. Members of staff should speak with the Data Protection Officer immediately upon receipt of a request to restrict, or an objection to, data processing.  </w:t>
      </w:r>
    </w:p>
    <w:p w14:paraId="7E940510" w14:textId="77777777" w:rsidR="00A27D56" w:rsidRPr="00E31BD2" w:rsidRDefault="00A27D56">
      <w:pPr>
        <w:pStyle w:val="Body"/>
        <w:spacing w:after="0" w:line="240" w:lineRule="auto"/>
        <w:jc w:val="both"/>
        <w:rPr>
          <w:rFonts w:ascii="Century Gothic" w:eastAsia="Century Gothic" w:hAnsi="Century Gothic" w:cs="Century Gothic"/>
        </w:rPr>
      </w:pPr>
    </w:p>
    <w:p w14:paraId="0F933E49" w14:textId="5C906DEC" w:rsidR="00A27D56" w:rsidRPr="00E31BD2" w:rsidRDefault="000C2198">
      <w:pPr>
        <w:pStyle w:val="Body"/>
        <w:spacing w:after="0" w:line="240" w:lineRule="auto"/>
        <w:jc w:val="both"/>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understands that there are certain situations in which services cannot be provided without processing an individual’s personal data. It is therefore reasonable, within the law, to explain the consequences of refusing to consent to data processing. Individuals who, when given the information to make an informed decision, continue to refuse to consent, may not be provided with a service.</w:t>
      </w:r>
    </w:p>
    <w:p w14:paraId="1EC93995" w14:textId="77777777" w:rsidR="00A27D56" w:rsidRPr="00E31BD2" w:rsidRDefault="00A27D56">
      <w:pPr>
        <w:pStyle w:val="Body"/>
        <w:spacing w:after="0" w:line="240" w:lineRule="auto"/>
        <w:jc w:val="both"/>
        <w:rPr>
          <w:rFonts w:ascii="Century Gothic" w:eastAsia="Century Gothic" w:hAnsi="Century Gothic" w:cs="Century Gothic"/>
        </w:rPr>
      </w:pPr>
    </w:p>
    <w:p w14:paraId="28B2D269" w14:textId="77777777" w:rsidR="00A27D56" w:rsidRPr="00E31BD2" w:rsidRDefault="00A27D56">
      <w:pPr>
        <w:pStyle w:val="Body"/>
        <w:spacing w:after="0" w:line="240" w:lineRule="auto"/>
        <w:jc w:val="both"/>
        <w:rPr>
          <w:rFonts w:ascii="Century Gothic" w:eastAsia="Century Gothic" w:hAnsi="Century Gothic" w:cs="Century Gothic"/>
          <w:sz w:val="24"/>
          <w:szCs w:val="24"/>
        </w:rPr>
      </w:pPr>
    </w:p>
    <w:p w14:paraId="6F3ED258" w14:textId="77777777" w:rsidR="00A27D56" w:rsidRPr="00E31BD2" w:rsidRDefault="00000000">
      <w:pPr>
        <w:pStyle w:val="Body"/>
        <w:spacing w:after="0" w:line="240" w:lineRule="auto"/>
        <w:rPr>
          <w:rFonts w:ascii="Century Gothic" w:eastAsia="Century Gothic" w:hAnsi="Century Gothic" w:cs="Century Gothic"/>
          <w:b/>
          <w:bCs/>
        </w:rPr>
      </w:pPr>
      <w:r w:rsidRPr="00E31BD2">
        <w:rPr>
          <w:rFonts w:ascii="Century Gothic" w:hAnsi="Century Gothic"/>
          <w:b/>
          <w:bCs/>
        </w:rPr>
        <w:t>CHILDREN</w:t>
      </w:r>
      <w:r w:rsidRPr="00E31BD2">
        <w:rPr>
          <w:rFonts w:ascii="Century Gothic" w:hAnsi="Century Gothic"/>
          <w:b/>
          <w:bCs/>
          <w:lang w:val="en-US"/>
        </w:rPr>
        <w:t>’</w:t>
      </w:r>
      <w:r w:rsidRPr="00E31BD2">
        <w:rPr>
          <w:rFonts w:ascii="Century Gothic" w:hAnsi="Century Gothic"/>
          <w:b/>
          <w:bCs/>
        </w:rPr>
        <w:t>S PERSONAL DATA</w:t>
      </w:r>
    </w:p>
    <w:p w14:paraId="58186FC1" w14:textId="77777777" w:rsidR="00A27D56" w:rsidRPr="00E31BD2" w:rsidRDefault="00A27D56">
      <w:pPr>
        <w:pStyle w:val="Body"/>
        <w:spacing w:after="0" w:line="240" w:lineRule="auto"/>
        <w:rPr>
          <w:rFonts w:ascii="Century Gothic" w:eastAsia="Century Gothic" w:hAnsi="Century Gothic" w:cs="Century Gothic"/>
        </w:rPr>
      </w:pPr>
    </w:p>
    <w:p w14:paraId="3C842DA2"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It is a legal requirement to provide children with age appropriate, purposefully designed documentation and it is the responsibility of the Data Protection Officer to ensure that this is created and disseminated appropriately.</w:t>
      </w:r>
    </w:p>
    <w:p w14:paraId="35D7769F" w14:textId="77777777" w:rsidR="00A27D56" w:rsidRPr="00E31BD2" w:rsidRDefault="00A27D56">
      <w:pPr>
        <w:pStyle w:val="Body"/>
        <w:spacing w:after="0" w:line="240" w:lineRule="auto"/>
        <w:rPr>
          <w:rFonts w:ascii="Century Gothic" w:eastAsia="Century Gothic" w:hAnsi="Century Gothic" w:cs="Century Gothic"/>
        </w:rPr>
      </w:pPr>
    </w:p>
    <w:p w14:paraId="25EE7247" w14:textId="48BD1A63" w:rsidR="00A27D56" w:rsidRPr="00E31BD2" w:rsidRDefault="000C2198">
      <w:pPr>
        <w:pStyle w:val="Body"/>
        <w:spacing w:after="0" w:line="240" w:lineRule="auto"/>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understands that children have the same data protection rights as adults, including the establishment of a lawful reason for processing.  The same reasons for lawful processing are available for processing children’s data as for adults; however, there are additional safeguards that must be considered.</w:t>
      </w:r>
    </w:p>
    <w:p w14:paraId="47A2D054" w14:textId="77777777" w:rsidR="00A27D56" w:rsidRPr="00E31BD2" w:rsidRDefault="00A27D56">
      <w:pPr>
        <w:pStyle w:val="Body"/>
        <w:spacing w:after="0" w:line="240" w:lineRule="auto"/>
        <w:rPr>
          <w:rFonts w:ascii="Century Gothic" w:eastAsia="Century Gothic" w:hAnsi="Century Gothic" w:cs="Century Gothic"/>
        </w:rPr>
      </w:pPr>
    </w:p>
    <w:p w14:paraId="4C1F0BBE"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Members of staff must make every reasonable effort to verify a person’s age and to ensure that for children, especially those under 12, consent to data processing is obtained via their parent or legal guardian. Similarly, members of staff must make every reasonable effort to verify that the person giving the consent does indeed hold legal responsibility for the child or children in question. </w:t>
      </w:r>
    </w:p>
    <w:p w14:paraId="5E126112" w14:textId="77777777" w:rsidR="00A27D56" w:rsidRPr="00E31BD2" w:rsidRDefault="00A27D56">
      <w:pPr>
        <w:pStyle w:val="Body"/>
        <w:spacing w:after="0" w:line="240" w:lineRule="auto"/>
        <w:rPr>
          <w:rFonts w:ascii="Century Gothic" w:eastAsia="Century Gothic" w:hAnsi="Century Gothic" w:cs="Century Gothic"/>
        </w:rPr>
      </w:pPr>
    </w:p>
    <w:p w14:paraId="0222E2B5"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Typically, personal data relating to a child should be held as part of their parent’s details and not independently, for example as a separate entry in a database. It is worth knowing that parental consent is not required when a child is accessing counselling services; and in this case children’s details can be held independently of their parent’</w:t>
      </w:r>
      <w:r w:rsidRPr="00E31BD2">
        <w:rPr>
          <w:rFonts w:ascii="Century Gothic" w:hAnsi="Century Gothic"/>
          <w:lang w:val="fr-FR"/>
        </w:rPr>
        <w:t xml:space="preserve">s information. </w:t>
      </w:r>
    </w:p>
    <w:p w14:paraId="0F5FF434" w14:textId="77777777" w:rsidR="00A27D56" w:rsidRPr="00E31BD2" w:rsidRDefault="00A27D56">
      <w:pPr>
        <w:pStyle w:val="Body"/>
        <w:spacing w:after="0" w:line="240" w:lineRule="auto"/>
        <w:rPr>
          <w:rFonts w:ascii="Century Gothic" w:eastAsia="Century Gothic" w:hAnsi="Century Gothic" w:cs="Century Gothic"/>
        </w:rPr>
      </w:pPr>
    </w:p>
    <w:p w14:paraId="6F281614" w14:textId="77777777" w:rsidR="00A27D56" w:rsidRPr="00E31BD2" w:rsidRDefault="00A27D56">
      <w:pPr>
        <w:pStyle w:val="Body"/>
        <w:spacing w:after="0" w:line="240" w:lineRule="auto"/>
        <w:rPr>
          <w:rFonts w:ascii="Century Gothic" w:eastAsia="Century Gothic" w:hAnsi="Century Gothic" w:cs="Century Gothic"/>
          <w:b/>
          <w:bCs/>
        </w:rPr>
      </w:pPr>
    </w:p>
    <w:p w14:paraId="6FE3EE08" w14:textId="77777777" w:rsidR="00A27D56" w:rsidRPr="00E31BD2" w:rsidRDefault="00A27D56">
      <w:pPr>
        <w:pStyle w:val="Body"/>
        <w:spacing w:after="0" w:line="240" w:lineRule="auto"/>
        <w:rPr>
          <w:rFonts w:ascii="Century Gothic" w:eastAsia="Century Gothic" w:hAnsi="Century Gothic" w:cs="Century Gothic"/>
          <w:b/>
          <w:bCs/>
        </w:rPr>
      </w:pPr>
    </w:p>
    <w:p w14:paraId="162F90FC" w14:textId="77777777" w:rsidR="00A27D56" w:rsidRPr="00E31BD2" w:rsidRDefault="00A27D56">
      <w:pPr>
        <w:pStyle w:val="Body"/>
        <w:spacing w:after="0" w:line="240" w:lineRule="auto"/>
        <w:rPr>
          <w:rFonts w:ascii="Century Gothic" w:eastAsia="Century Gothic" w:hAnsi="Century Gothic" w:cs="Century Gothic"/>
          <w:b/>
          <w:bCs/>
        </w:rPr>
      </w:pPr>
    </w:p>
    <w:p w14:paraId="39D9D290" w14:textId="77777777" w:rsidR="00A27D56" w:rsidRPr="00E31BD2" w:rsidRDefault="00A27D56">
      <w:pPr>
        <w:pStyle w:val="Body"/>
        <w:spacing w:after="0" w:line="240" w:lineRule="auto"/>
        <w:rPr>
          <w:rFonts w:ascii="Century Gothic" w:eastAsia="Century Gothic" w:hAnsi="Century Gothic" w:cs="Century Gothic"/>
          <w:b/>
          <w:bCs/>
        </w:rPr>
      </w:pPr>
    </w:p>
    <w:p w14:paraId="746FAEEF" w14:textId="77777777" w:rsidR="00A27D56" w:rsidRPr="00E31BD2" w:rsidRDefault="00A27D56">
      <w:pPr>
        <w:pStyle w:val="Body"/>
        <w:spacing w:after="0" w:line="240" w:lineRule="auto"/>
        <w:rPr>
          <w:rFonts w:ascii="Century Gothic" w:eastAsia="Century Gothic" w:hAnsi="Century Gothic" w:cs="Century Gothic"/>
          <w:b/>
          <w:bCs/>
        </w:rPr>
      </w:pPr>
    </w:p>
    <w:p w14:paraId="7B96F1BE" w14:textId="77777777" w:rsidR="00A27D56" w:rsidRPr="00E31BD2" w:rsidRDefault="00A27D56">
      <w:pPr>
        <w:pStyle w:val="Body"/>
        <w:spacing w:after="0" w:line="240" w:lineRule="auto"/>
        <w:rPr>
          <w:rFonts w:ascii="Century Gothic" w:eastAsia="Century Gothic" w:hAnsi="Century Gothic" w:cs="Century Gothic"/>
          <w:b/>
          <w:bCs/>
        </w:rPr>
      </w:pPr>
    </w:p>
    <w:p w14:paraId="68C50E04" w14:textId="77777777" w:rsidR="00A27D56" w:rsidRPr="00E31BD2" w:rsidRDefault="00A27D56">
      <w:pPr>
        <w:pStyle w:val="Body"/>
        <w:spacing w:after="0" w:line="240" w:lineRule="auto"/>
        <w:rPr>
          <w:rFonts w:ascii="Century Gothic" w:eastAsia="Century Gothic" w:hAnsi="Century Gothic" w:cs="Century Gothic"/>
          <w:b/>
          <w:bCs/>
        </w:rPr>
      </w:pPr>
    </w:p>
    <w:p w14:paraId="6AB7A35D" w14:textId="77777777" w:rsidR="00A27D56" w:rsidRPr="00E31BD2" w:rsidRDefault="00A27D56">
      <w:pPr>
        <w:pStyle w:val="Body"/>
        <w:spacing w:after="0" w:line="240" w:lineRule="auto"/>
        <w:rPr>
          <w:rFonts w:ascii="Century Gothic" w:eastAsia="Century Gothic" w:hAnsi="Century Gothic" w:cs="Century Gothic"/>
          <w:b/>
          <w:bCs/>
        </w:rPr>
      </w:pPr>
    </w:p>
    <w:p w14:paraId="220326EA" w14:textId="77777777" w:rsidR="00A27D56" w:rsidRPr="00E31BD2" w:rsidRDefault="00A27D56">
      <w:pPr>
        <w:pStyle w:val="Body"/>
        <w:spacing w:after="0" w:line="240" w:lineRule="auto"/>
        <w:rPr>
          <w:rFonts w:ascii="Century Gothic" w:eastAsia="Century Gothic" w:hAnsi="Century Gothic" w:cs="Century Gothic"/>
          <w:b/>
          <w:bCs/>
        </w:rPr>
      </w:pPr>
    </w:p>
    <w:p w14:paraId="779388A0"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b/>
          <w:bCs/>
          <w:lang w:val="en-US"/>
        </w:rPr>
        <w:lastRenderedPageBreak/>
        <w:t>Accessing personal information</w:t>
      </w:r>
    </w:p>
    <w:p w14:paraId="71ED5656" w14:textId="77777777" w:rsidR="00A27D56" w:rsidRPr="00E31BD2" w:rsidRDefault="00A27D56">
      <w:pPr>
        <w:pStyle w:val="Body"/>
        <w:spacing w:after="0" w:line="240" w:lineRule="auto"/>
        <w:rPr>
          <w:rFonts w:ascii="Century Gothic" w:eastAsia="Century Gothic" w:hAnsi="Century Gothic" w:cs="Century Gothic"/>
          <w:b/>
          <w:bCs/>
        </w:rPr>
      </w:pPr>
    </w:p>
    <w:p w14:paraId="391616F5" w14:textId="30133FAC" w:rsidR="00A27D56" w:rsidRPr="00E31BD2" w:rsidRDefault="000C2198">
      <w:pPr>
        <w:pStyle w:val="Body"/>
        <w:spacing w:after="0" w:line="240" w:lineRule="auto"/>
        <w:rPr>
          <w:rFonts w:ascii="Century Gothic" w:eastAsia="Century Gothic" w:hAnsi="Century Gothic" w:cs="Century Gothic"/>
          <w:b/>
          <w:bCs/>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understands that, in England, the age at which a child reaches sufficient maturity to access their own information is normally 12, but this may vary amongst individuals.  Once a child reaches sufficient maturity, the parent may only act with the child’</w:t>
      </w:r>
      <w:r w:rsidRPr="00E31BD2">
        <w:rPr>
          <w:rFonts w:ascii="Century Gothic" w:hAnsi="Century Gothic"/>
          <w:lang w:val="pt-PT"/>
        </w:rPr>
        <w:t>s consent.</w:t>
      </w:r>
      <w:r w:rsidRPr="00E31BD2">
        <w:rPr>
          <w:rFonts w:ascii="Century Gothic" w:hAnsi="Century Gothic"/>
          <w:b/>
          <w:bCs/>
        </w:rPr>
        <w:t xml:space="preserve"> </w:t>
      </w:r>
    </w:p>
    <w:p w14:paraId="1F7B7645" w14:textId="77777777" w:rsidR="00A27D56" w:rsidRPr="00E31BD2" w:rsidRDefault="00A27D56">
      <w:pPr>
        <w:pStyle w:val="Body"/>
        <w:spacing w:after="0" w:line="240" w:lineRule="auto"/>
        <w:rPr>
          <w:rFonts w:ascii="Century Gothic" w:eastAsia="Century Gothic" w:hAnsi="Century Gothic" w:cs="Century Gothic"/>
          <w:b/>
          <w:bCs/>
        </w:rPr>
      </w:pPr>
    </w:p>
    <w:p w14:paraId="5E74F08F" w14:textId="26985A52"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Where a child is over 12 and a request is made on their behalf,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may contact them separately to seek their signed consent for someone to access their records on their behalf.  </w:t>
      </w:r>
    </w:p>
    <w:p w14:paraId="473D8054" w14:textId="77777777" w:rsidR="00A27D56" w:rsidRPr="00E31BD2" w:rsidRDefault="00A27D56">
      <w:pPr>
        <w:pStyle w:val="Body"/>
        <w:spacing w:after="0" w:line="240" w:lineRule="auto"/>
        <w:rPr>
          <w:rFonts w:ascii="Century Gothic" w:eastAsia="Century Gothic" w:hAnsi="Century Gothic" w:cs="Century Gothic"/>
        </w:rPr>
      </w:pPr>
    </w:p>
    <w:p w14:paraId="1D710350"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When deciding whether information about a child can be released, consideration is given to the best interest of the child.</w:t>
      </w:r>
    </w:p>
    <w:p w14:paraId="1398E404" w14:textId="77777777" w:rsidR="00A27D56" w:rsidRPr="00E31BD2" w:rsidRDefault="00A27D56">
      <w:pPr>
        <w:pStyle w:val="Body"/>
        <w:spacing w:after="0" w:line="240" w:lineRule="auto"/>
        <w:rPr>
          <w:rFonts w:ascii="Century Gothic" w:eastAsia="Century Gothic" w:hAnsi="Century Gothic" w:cs="Century Gothic"/>
          <w:b/>
          <w:bCs/>
        </w:rPr>
      </w:pPr>
    </w:p>
    <w:p w14:paraId="6B7019A9" w14:textId="1B755F94" w:rsidR="00A27D56" w:rsidRPr="00E31BD2" w:rsidRDefault="000C2198">
      <w:pPr>
        <w:pStyle w:val="Body"/>
        <w:spacing w:after="0" w:line="240" w:lineRule="auto"/>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will not process a Subject Access Request for information held on a child if the child, having been deemed capable of understanding the nature of the request and the consequences of their actions, refuses to consent to this information being disclosed.</w:t>
      </w:r>
    </w:p>
    <w:p w14:paraId="469548AD" w14:textId="77777777" w:rsidR="00A27D56" w:rsidRPr="00E31BD2" w:rsidRDefault="00A27D56">
      <w:pPr>
        <w:pStyle w:val="Body"/>
        <w:spacing w:after="0" w:line="240" w:lineRule="auto"/>
        <w:rPr>
          <w:rFonts w:ascii="Century Gothic" w:eastAsia="Century Gothic" w:hAnsi="Century Gothic" w:cs="Century Gothic"/>
          <w:b/>
          <w:bCs/>
        </w:rPr>
      </w:pPr>
    </w:p>
    <w:p w14:paraId="6811FE6B"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In circumstances where a parent or guardian is making a subject access request on behalf of,</w:t>
      </w:r>
    </w:p>
    <w:p w14:paraId="155A4C74" w14:textId="77777777" w:rsidR="00A27D56" w:rsidRPr="00E31BD2" w:rsidRDefault="00A27D56">
      <w:pPr>
        <w:pStyle w:val="Body"/>
        <w:spacing w:after="0" w:line="240" w:lineRule="auto"/>
        <w:rPr>
          <w:rFonts w:ascii="Century Gothic" w:eastAsia="Century Gothic" w:hAnsi="Century Gothic" w:cs="Century Gothic"/>
        </w:rPr>
      </w:pPr>
    </w:p>
    <w:p w14:paraId="4433C21A" w14:textId="77777777" w:rsidR="00A27D56" w:rsidRPr="00E31BD2" w:rsidRDefault="00000000">
      <w:pPr>
        <w:pStyle w:val="Body"/>
        <w:numPr>
          <w:ilvl w:val="0"/>
          <w:numId w:val="10"/>
        </w:numPr>
        <w:spacing w:after="0" w:line="240" w:lineRule="auto"/>
        <w:rPr>
          <w:rFonts w:ascii="Century Gothic" w:hAnsi="Century Gothic"/>
          <w:lang w:val="en-US"/>
        </w:rPr>
      </w:pPr>
      <w:r w:rsidRPr="00E31BD2">
        <w:rPr>
          <w:rFonts w:ascii="Century Gothic" w:hAnsi="Century Gothic"/>
          <w:lang w:val="en-US"/>
        </w:rPr>
        <w:t>A child under 12</w:t>
      </w:r>
    </w:p>
    <w:p w14:paraId="10AA2F9F" w14:textId="77777777" w:rsidR="00A27D56" w:rsidRPr="00E31BD2" w:rsidRDefault="00000000">
      <w:pPr>
        <w:pStyle w:val="Body"/>
        <w:numPr>
          <w:ilvl w:val="0"/>
          <w:numId w:val="10"/>
        </w:numPr>
        <w:spacing w:after="0" w:line="240" w:lineRule="auto"/>
        <w:rPr>
          <w:rFonts w:ascii="Century Gothic" w:hAnsi="Century Gothic"/>
          <w:lang w:val="en-US"/>
        </w:rPr>
      </w:pPr>
      <w:r w:rsidRPr="00E31BD2">
        <w:rPr>
          <w:rFonts w:ascii="Century Gothic" w:hAnsi="Century Gothic"/>
          <w:lang w:val="en-US"/>
        </w:rPr>
        <w:t>A child over 12 that has given consent to access or does not have maturity for the decision</w:t>
      </w:r>
    </w:p>
    <w:p w14:paraId="6BF1A7DF" w14:textId="77777777" w:rsidR="00A27D56" w:rsidRPr="00E31BD2" w:rsidRDefault="00A27D56">
      <w:pPr>
        <w:pStyle w:val="Body"/>
        <w:spacing w:after="0" w:line="240" w:lineRule="auto"/>
        <w:ind w:left="720"/>
        <w:rPr>
          <w:rFonts w:ascii="Century Gothic" w:eastAsia="Century Gothic" w:hAnsi="Century Gothic" w:cs="Century Gothic"/>
        </w:rPr>
      </w:pPr>
    </w:p>
    <w:p w14:paraId="30C2104C"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They must provide the following information,</w:t>
      </w:r>
    </w:p>
    <w:p w14:paraId="1FF7F7DF" w14:textId="77777777" w:rsidR="00A27D56" w:rsidRPr="00E31BD2" w:rsidRDefault="00A27D56">
      <w:pPr>
        <w:pStyle w:val="Body"/>
        <w:spacing w:after="0" w:line="240" w:lineRule="auto"/>
        <w:rPr>
          <w:rFonts w:ascii="Century Gothic" w:eastAsia="Century Gothic" w:hAnsi="Century Gothic" w:cs="Century Gothic"/>
        </w:rPr>
      </w:pPr>
    </w:p>
    <w:p w14:paraId="06ECEBB3" w14:textId="77777777" w:rsidR="00A27D56" w:rsidRPr="00E31BD2" w:rsidRDefault="00000000">
      <w:pPr>
        <w:pStyle w:val="Body"/>
        <w:numPr>
          <w:ilvl w:val="0"/>
          <w:numId w:val="12"/>
        </w:numPr>
        <w:spacing w:after="0" w:line="240" w:lineRule="auto"/>
        <w:rPr>
          <w:rFonts w:ascii="Century Gothic" w:hAnsi="Century Gothic"/>
          <w:b/>
          <w:bCs/>
          <w:lang w:val="en-US"/>
        </w:rPr>
      </w:pPr>
      <w:r w:rsidRPr="00E31BD2">
        <w:rPr>
          <w:rFonts w:ascii="Century Gothic" w:hAnsi="Century Gothic"/>
          <w:lang w:val="en-US"/>
        </w:rPr>
        <w:t xml:space="preserve">A copy of child’s birth certificate OR </w:t>
      </w:r>
    </w:p>
    <w:p w14:paraId="4A1AE2A8" w14:textId="77777777" w:rsidR="00A27D56" w:rsidRPr="00E31BD2" w:rsidRDefault="00000000">
      <w:pPr>
        <w:pStyle w:val="Body"/>
        <w:numPr>
          <w:ilvl w:val="0"/>
          <w:numId w:val="12"/>
        </w:numPr>
        <w:spacing w:after="0" w:line="240" w:lineRule="auto"/>
        <w:rPr>
          <w:rFonts w:ascii="Century Gothic" w:hAnsi="Century Gothic"/>
          <w:b/>
          <w:bCs/>
          <w:lang w:val="en-US"/>
        </w:rPr>
      </w:pPr>
      <w:r w:rsidRPr="00E31BD2">
        <w:rPr>
          <w:rFonts w:ascii="Century Gothic" w:hAnsi="Century Gothic"/>
          <w:lang w:val="en-US"/>
        </w:rPr>
        <w:t xml:space="preserve">A current child’s passport AND </w:t>
      </w:r>
    </w:p>
    <w:p w14:paraId="04761C74" w14:textId="77777777" w:rsidR="00A27D56" w:rsidRPr="00E31BD2" w:rsidRDefault="00000000">
      <w:pPr>
        <w:pStyle w:val="Body"/>
        <w:numPr>
          <w:ilvl w:val="0"/>
          <w:numId w:val="12"/>
        </w:numPr>
        <w:spacing w:after="0" w:line="240" w:lineRule="auto"/>
        <w:rPr>
          <w:rFonts w:ascii="Century Gothic" w:hAnsi="Century Gothic"/>
          <w:b/>
          <w:bCs/>
          <w:lang w:val="en-US"/>
        </w:rPr>
      </w:pPr>
      <w:r w:rsidRPr="00E31BD2">
        <w:rPr>
          <w:rFonts w:ascii="Century Gothic" w:hAnsi="Century Gothic"/>
          <w:lang w:val="en-US"/>
        </w:rPr>
        <w:t xml:space="preserve">Proof of parent’s identity </w:t>
      </w:r>
    </w:p>
    <w:p w14:paraId="422E4450" w14:textId="77777777" w:rsidR="00A27D56" w:rsidRPr="00E31BD2" w:rsidRDefault="00A27D56">
      <w:pPr>
        <w:pStyle w:val="Body"/>
        <w:spacing w:after="0" w:line="240" w:lineRule="auto"/>
        <w:rPr>
          <w:rFonts w:ascii="Century Gothic" w:eastAsia="Century Gothic" w:hAnsi="Century Gothic" w:cs="Century Gothic"/>
        </w:rPr>
      </w:pPr>
    </w:p>
    <w:p w14:paraId="03FF976B" w14:textId="3D2D1C48"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If there is any doubt about whether the parent is entitled to information,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may request a copy of a child benefit letter or payments to establish that the child is living with the parents. </w:t>
      </w:r>
    </w:p>
    <w:p w14:paraId="7F609BFD" w14:textId="77777777" w:rsidR="00A27D56" w:rsidRPr="00E31BD2" w:rsidRDefault="00A27D56">
      <w:pPr>
        <w:pStyle w:val="Body"/>
        <w:spacing w:after="0" w:line="240" w:lineRule="auto"/>
        <w:rPr>
          <w:rFonts w:ascii="Century Gothic" w:eastAsia="Century Gothic" w:hAnsi="Century Gothic" w:cs="Century Gothic"/>
          <w:b/>
          <w:bCs/>
        </w:rPr>
      </w:pPr>
    </w:p>
    <w:p w14:paraId="384D3AFD" w14:textId="2BE1EB81"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If the data is about the child who does not live with the applicant parent, </w:t>
      </w:r>
      <w:proofErr w:type="spellStart"/>
      <w:proofErr w:type="gramStart"/>
      <w:r w:rsidR="000C2198" w:rsidRPr="00E31BD2">
        <w:rPr>
          <w:rFonts w:ascii="Century Gothic" w:hAnsi="Century Gothic"/>
          <w:lang w:val="en-US"/>
        </w:rPr>
        <w:t>SENDhelp</w:t>
      </w:r>
      <w:proofErr w:type="spellEnd"/>
      <w:r w:rsidRPr="00E31BD2">
        <w:rPr>
          <w:rFonts w:ascii="Century Gothic" w:hAnsi="Century Gothic"/>
          <w:lang w:val="en-US"/>
        </w:rPr>
        <w:t xml:space="preserve">  may</w:t>
      </w:r>
      <w:proofErr w:type="gramEnd"/>
      <w:r w:rsidRPr="00E31BD2">
        <w:rPr>
          <w:rFonts w:ascii="Century Gothic" w:hAnsi="Century Gothic"/>
          <w:lang w:val="en-US"/>
        </w:rPr>
        <w:t xml:space="preserve"> contact any professionals involved with the child with whom we have contact (e.g., health, social care) to consider whether there is any court order or other reason why supplying information is not in the child’s interests. If no professional can be contacted, we may contact the parent with whom the child lives. The other parent does not have a veto, but the interests of the child are paramount. </w:t>
      </w:r>
    </w:p>
    <w:p w14:paraId="05DCBBFA" w14:textId="77777777" w:rsidR="00A27D56" w:rsidRPr="00E31BD2" w:rsidRDefault="00A27D56">
      <w:pPr>
        <w:pStyle w:val="Body"/>
        <w:spacing w:after="0" w:line="240" w:lineRule="auto"/>
        <w:rPr>
          <w:rFonts w:ascii="Century Gothic" w:eastAsia="Century Gothic" w:hAnsi="Century Gothic" w:cs="Century Gothic"/>
          <w:b/>
          <w:bCs/>
        </w:rPr>
      </w:pPr>
    </w:p>
    <w:p w14:paraId="002424EA"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If the applicant is a solicitor, proofs of identity can be requested, but signed consent from the subject for the solicitor to make the request on their behalf must be provided.</w:t>
      </w:r>
    </w:p>
    <w:p w14:paraId="05A8D63D" w14:textId="77777777" w:rsidR="00A27D56" w:rsidRPr="00E31BD2" w:rsidRDefault="00A27D56">
      <w:pPr>
        <w:pStyle w:val="Body"/>
        <w:spacing w:after="0" w:line="240" w:lineRule="auto"/>
        <w:rPr>
          <w:rFonts w:ascii="Century Gothic" w:eastAsia="Century Gothic" w:hAnsi="Century Gothic" w:cs="Century Gothic"/>
          <w:b/>
          <w:bCs/>
        </w:rPr>
      </w:pPr>
    </w:p>
    <w:p w14:paraId="392FA29A" w14:textId="77777777" w:rsidR="00A27D56" w:rsidRPr="00E31BD2" w:rsidRDefault="00000000">
      <w:pPr>
        <w:pStyle w:val="Body"/>
        <w:spacing w:after="0" w:line="240" w:lineRule="auto"/>
        <w:rPr>
          <w:rFonts w:ascii="Century Gothic" w:eastAsia="Century Gothic" w:hAnsi="Century Gothic" w:cs="Century Gothic"/>
          <w:b/>
          <w:bCs/>
        </w:rPr>
      </w:pPr>
      <w:r w:rsidRPr="00E31BD2">
        <w:rPr>
          <w:rFonts w:ascii="Century Gothic" w:hAnsi="Century Gothic"/>
          <w:lang w:val="en-US"/>
        </w:rPr>
        <w:t xml:space="preserve">Once the above has been received, the request is valid, and the statutory timescales for compliance begin. </w:t>
      </w:r>
    </w:p>
    <w:p w14:paraId="737DB7E2" w14:textId="77777777" w:rsidR="00A27D56" w:rsidRPr="00E31BD2" w:rsidRDefault="00A27D56">
      <w:pPr>
        <w:pStyle w:val="Body"/>
        <w:spacing w:after="0" w:line="240" w:lineRule="auto"/>
        <w:jc w:val="both"/>
        <w:rPr>
          <w:rFonts w:ascii="Century Gothic" w:eastAsia="Century Gothic" w:hAnsi="Century Gothic" w:cs="Century Gothic"/>
          <w:b/>
          <w:bCs/>
        </w:rPr>
      </w:pPr>
    </w:p>
    <w:p w14:paraId="39044D2B" w14:textId="77777777" w:rsidR="00A27D56" w:rsidRPr="00E31BD2" w:rsidRDefault="00A27D56">
      <w:pPr>
        <w:pStyle w:val="Body"/>
        <w:spacing w:after="0" w:line="240" w:lineRule="auto"/>
        <w:jc w:val="both"/>
        <w:rPr>
          <w:rFonts w:ascii="Century Gothic" w:eastAsia="Century Gothic" w:hAnsi="Century Gothic" w:cs="Century Gothic"/>
          <w:b/>
          <w:bCs/>
        </w:rPr>
      </w:pPr>
    </w:p>
    <w:p w14:paraId="744D932A" w14:textId="77777777" w:rsidR="00A27D56" w:rsidRPr="00E31BD2" w:rsidRDefault="00000000">
      <w:pPr>
        <w:pStyle w:val="Body"/>
        <w:spacing w:after="0" w:line="240" w:lineRule="auto"/>
        <w:rPr>
          <w:rFonts w:ascii="Century Gothic" w:eastAsia="Century Gothic" w:hAnsi="Century Gothic" w:cs="Century Gothic"/>
          <w:b/>
          <w:bCs/>
        </w:rPr>
      </w:pPr>
      <w:r w:rsidRPr="00E31BD2">
        <w:rPr>
          <w:rFonts w:ascii="Century Gothic" w:hAnsi="Century Gothic"/>
          <w:b/>
          <w:bCs/>
          <w:lang w:val="en-US"/>
        </w:rPr>
        <w:lastRenderedPageBreak/>
        <w:t>USING YOUR OWN DEVICE</w:t>
      </w:r>
    </w:p>
    <w:p w14:paraId="5F139FCD" w14:textId="77777777" w:rsidR="00A27D56" w:rsidRPr="00E31BD2" w:rsidRDefault="00A27D56">
      <w:pPr>
        <w:pStyle w:val="Body"/>
        <w:spacing w:after="0" w:line="240" w:lineRule="auto"/>
        <w:rPr>
          <w:rFonts w:ascii="Century Gothic" w:eastAsia="Century Gothic" w:hAnsi="Century Gothic" w:cs="Century Gothic"/>
          <w:b/>
          <w:bCs/>
        </w:rPr>
      </w:pPr>
    </w:p>
    <w:p w14:paraId="0EE66AE5" w14:textId="4C73D344" w:rsidR="00A27D56" w:rsidRPr="00E31BD2" w:rsidRDefault="000C2198">
      <w:pPr>
        <w:pStyle w:val="Body"/>
        <w:spacing w:after="0" w:line="240" w:lineRule="auto"/>
        <w:rPr>
          <w:rFonts w:ascii="Century Gothic" w:eastAsia="Century Gothic" w:hAnsi="Century Gothic" w:cs="Century Gothic"/>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understands that members of staff bring privately owned personal devices, such as mobile phones to work with them; and that often such devices give access to personal cloud storage. It is </w:t>
      </w:r>
      <w:proofErr w:type="spellStart"/>
      <w:r w:rsidRPr="00E31BD2">
        <w:rPr>
          <w:rFonts w:ascii="Century Gothic" w:hAnsi="Century Gothic"/>
          <w:lang w:val="en-US"/>
        </w:rPr>
        <w:t>organisational</w:t>
      </w:r>
      <w:proofErr w:type="spellEnd"/>
      <w:r w:rsidRPr="00E31BD2">
        <w:rPr>
          <w:rFonts w:ascii="Century Gothic" w:hAnsi="Century Gothic"/>
          <w:lang w:val="en-US"/>
        </w:rPr>
        <w:t xml:space="preserve"> policy that members of staff must not store </w:t>
      </w:r>
      <w:proofErr w:type="spellStart"/>
      <w:r w:rsidRPr="00E31BD2">
        <w:rPr>
          <w:rFonts w:ascii="Century Gothic" w:hAnsi="Century Gothic"/>
          <w:lang w:val="en-US"/>
        </w:rPr>
        <w:t>organisational</w:t>
      </w:r>
      <w:proofErr w:type="spellEnd"/>
      <w:r w:rsidRPr="00E31BD2">
        <w:rPr>
          <w:rFonts w:ascii="Century Gothic" w:hAnsi="Century Gothic"/>
          <w:lang w:val="en-US"/>
        </w:rPr>
        <w:t xml:space="preserve"> information on personal cloud storage.</w:t>
      </w:r>
    </w:p>
    <w:p w14:paraId="389F8A7D" w14:textId="77777777" w:rsidR="00A27D56" w:rsidRPr="00E31BD2" w:rsidRDefault="00A27D56">
      <w:pPr>
        <w:pStyle w:val="Body"/>
        <w:spacing w:after="0" w:line="240" w:lineRule="auto"/>
        <w:rPr>
          <w:rFonts w:ascii="Century Gothic" w:eastAsia="Century Gothic" w:hAnsi="Century Gothic" w:cs="Century Gothic"/>
        </w:rPr>
      </w:pPr>
    </w:p>
    <w:p w14:paraId="5B90B932" w14:textId="55D6461B"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Where possible, members of staff, should always work from </w:t>
      </w:r>
      <w:proofErr w:type="spellStart"/>
      <w:r w:rsidR="000C2198" w:rsidRPr="00E31BD2">
        <w:rPr>
          <w:rFonts w:ascii="Century Gothic" w:hAnsi="Century Gothic"/>
          <w:lang w:val="en-US"/>
        </w:rPr>
        <w:t>SENDhelp</w:t>
      </w:r>
      <w:r w:rsidRPr="00E31BD2">
        <w:rPr>
          <w:rFonts w:ascii="Century Gothic" w:hAnsi="Century Gothic"/>
          <w:lang w:val="en-US"/>
        </w:rPr>
        <w:t>’s</w:t>
      </w:r>
      <w:proofErr w:type="spellEnd"/>
      <w:r w:rsidRPr="00E31BD2">
        <w:rPr>
          <w:rFonts w:ascii="Century Gothic" w:hAnsi="Century Gothic"/>
          <w:lang w:val="en-US"/>
        </w:rPr>
        <w:t xml:space="preserve"> devices, whether on site or at home. However,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understands that this is not always possible. Members of staff who wish to use their own devices for work purposes, must have </w:t>
      </w:r>
      <w:proofErr w:type="spellStart"/>
      <w:r w:rsidRPr="00E31BD2">
        <w:rPr>
          <w:rFonts w:ascii="Century Gothic" w:hAnsi="Century Gothic"/>
          <w:lang w:val="en-US"/>
        </w:rPr>
        <w:t>authorisation</w:t>
      </w:r>
      <w:proofErr w:type="spellEnd"/>
      <w:r w:rsidRPr="00E31BD2">
        <w:rPr>
          <w:rFonts w:ascii="Century Gothic" w:hAnsi="Century Gothic"/>
          <w:lang w:val="en-US"/>
        </w:rPr>
        <w:t xml:space="preserve"> from a </w:t>
      </w:r>
      <w:proofErr w:type="gramStart"/>
      <w:r w:rsidRPr="00E31BD2">
        <w:rPr>
          <w:rFonts w:ascii="Century Gothic" w:hAnsi="Century Gothic"/>
          <w:lang w:val="en-US"/>
        </w:rPr>
        <w:t>Director</w:t>
      </w:r>
      <w:proofErr w:type="gramEnd"/>
      <w:r w:rsidRPr="00E31BD2">
        <w:rPr>
          <w:rFonts w:ascii="Century Gothic" w:hAnsi="Century Gothic"/>
          <w:lang w:val="en-US"/>
        </w:rPr>
        <w:t>.</w:t>
      </w:r>
    </w:p>
    <w:p w14:paraId="5A1DA08F" w14:textId="77777777" w:rsidR="00A27D56" w:rsidRPr="00E31BD2" w:rsidRDefault="00A27D56">
      <w:pPr>
        <w:pStyle w:val="Body"/>
        <w:spacing w:after="0" w:line="240" w:lineRule="auto"/>
        <w:rPr>
          <w:rFonts w:ascii="Century Gothic" w:eastAsia="Century Gothic" w:hAnsi="Century Gothic" w:cs="Century Gothic"/>
        </w:rPr>
      </w:pPr>
    </w:p>
    <w:p w14:paraId="3DA56F48"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If there are reasonable grounds to suggest that an employee is storing </w:t>
      </w:r>
      <w:proofErr w:type="spellStart"/>
      <w:r w:rsidRPr="00E31BD2">
        <w:rPr>
          <w:rFonts w:ascii="Century Gothic" w:hAnsi="Century Gothic"/>
          <w:lang w:val="en-US"/>
        </w:rPr>
        <w:t>organisational</w:t>
      </w:r>
      <w:proofErr w:type="spellEnd"/>
      <w:r w:rsidRPr="00E31BD2">
        <w:rPr>
          <w:rFonts w:ascii="Century Gothic" w:hAnsi="Century Gothic"/>
          <w:lang w:val="en-US"/>
        </w:rPr>
        <w:t xml:space="preserve"> data on a personal device without </w:t>
      </w:r>
      <w:proofErr w:type="spellStart"/>
      <w:r w:rsidRPr="00E31BD2">
        <w:rPr>
          <w:rFonts w:ascii="Century Gothic" w:hAnsi="Century Gothic"/>
          <w:lang w:val="en-US"/>
        </w:rPr>
        <w:t>authorisation</w:t>
      </w:r>
      <w:proofErr w:type="spellEnd"/>
      <w:r w:rsidRPr="00E31BD2">
        <w:rPr>
          <w:rFonts w:ascii="Century Gothic" w:hAnsi="Century Gothic"/>
          <w:lang w:val="en-US"/>
        </w:rPr>
        <w:t xml:space="preserve"> to do so,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reserves the right to ask that employee to provide access for inspection of the device. The employee reserves the right to say no, but refusal will be recorded on their personal file and can form part of any future disciplinary investigation.</w:t>
      </w:r>
    </w:p>
    <w:p w14:paraId="0EAAF520" w14:textId="77777777" w:rsidR="00A27D56" w:rsidRPr="00E31BD2" w:rsidRDefault="00A27D56">
      <w:pPr>
        <w:pStyle w:val="Body"/>
        <w:spacing w:after="0" w:line="240" w:lineRule="auto"/>
        <w:rPr>
          <w:rFonts w:ascii="Century Gothic" w:eastAsia="Century Gothic" w:hAnsi="Century Gothic" w:cs="Century Gothic"/>
          <w:b/>
          <w:bCs/>
        </w:rPr>
      </w:pPr>
    </w:p>
    <w:p w14:paraId="4F8A898B" w14:textId="77777777" w:rsidR="00A27D56" w:rsidRPr="00E31BD2" w:rsidRDefault="00A27D56">
      <w:pPr>
        <w:pStyle w:val="Body"/>
        <w:spacing w:after="0" w:line="240" w:lineRule="auto"/>
        <w:rPr>
          <w:rFonts w:ascii="Century Gothic" w:eastAsia="Century Gothic" w:hAnsi="Century Gothic" w:cs="Century Gothic"/>
          <w:b/>
          <w:bCs/>
        </w:rPr>
      </w:pPr>
    </w:p>
    <w:p w14:paraId="10CB66D3" w14:textId="77777777" w:rsidR="00A27D56" w:rsidRPr="00E31BD2" w:rsidRDefault="00000000">
      <w:pPr>
        <w:pStyle w:val="Body"/>
        <w:spacing w:after="0" w:line="240" w:lineRule="auto"/>
        <w:rPr>
          <w:rFonts w:ascii="Century Gothic" w:eastAsia="Century Gothic" w:hAnsi="Century Gothic" w:cs="Century Gothic"/>
          <w:b/>
          <w:bCs/>
        </w:rPr>
      </w:pPr>
      <w:r w:rsidRPr="00E31BD2">
        <w:rPr>
          <w:rFonts w:ascii="Century Gothic" w:hAnsi="Century Gothic"/>
          <w:b/>
          <w:bCs/>
          <w:lang w:val="en-US"/>
        </w:rPr>
        <w:t>TRANSFER OF DATA</w:t>
      </w:r>
    </w:p>
    <w:p w14:paraId="66347182" w14:textId="77777777" w:rsidR="00A27D56" w:rsidRPr="00E31BD2" w:rsidRDefault="00A27D56">
      <w:pPr>
        <w:pStyle w:val="Body"/>
        <w:spacing w:after="0" w:line="240" w:lineRule="auto"/>
        <w:jc w:val="both"/>
        <w:rPr>
          <w:rFonts w:ascii="Century Gothic" w:eastAsia="Century Gothic" w:hAnsi="Century Gothic" w:cs="Century Gothic"/>
          <w:b/>
          <w:bCs/>
        </w:rPr>
      </w:pPr>
    </w:p>
    <w:p w14:paraId="04F385A9" w14:textId="43FDEFCB" w:rsidR="00A27D56" w:rsidRPr="00E31BD2" w:rsidRDefault="000C2198">
      <w:pPr>
        <w:pStyle w:val="Body"/>
        <w:spacing w:after="0" w:line="240" w:lineRule="auto"/>
        <w:rPr>
          <w:rFonts w:ascii="Century Gothic" w:eastAsia="Century Gothic" w:hAnsi="Century Gothic" w:cs="Century Gothic"/>
          <w:b/>
          <w:bCs/>
        </w:rPr>
      </w:pPr>
      <w:proofErr w:type="spellStart"/>
      <w:r w:rsidRPr="00E31BD2">
        <w:rPr>
          <w:rFonts w:ascii="Century Gothic" w:hAnsi="Century Gothic"/>
          <w:lang w:val="en-US"/>
        </w:rPr>
        <w:t>SENDhelp</w:t>
      </w:r>
      <w:proofErr w:type="spellEnd"/>
      <w:r w:rsidRPr="00E31BD2">
        <w:rPr>
          <w:rFonts w:ascii="Century Gothic" w:hAnsi="Century Gothic"/>
          <w:lang w:val="en-US"/>
        </w:rPr>
        <w:t xml:space="preserve"> will comply with UK GDPR and the Data Protection Act if processing information to, or from, third party countries. </w:t>
      </w:r>
    </w:p>
    <w:p w14:paraId="0D5B5A6C" w14:textId="77777777" w:rsidR="00A27D56" w:rsidRPr="00E31BD2" w:rsidRDefault="00A27D56">
      <w:pPr>
        <w:pStyle w:val="Body"/>
        <w:spacing w:after="0" w:line="240" w:lineRule="auto"/>
        <w:rPr>
          <w:rFonts w:ascii="Century Gothic" w:eastAsia="Century Gothic" w:hAnsi="Century Gothic" w:cs="Century Gothic"/>
          <w:b/>
          <w:bCs/>
        </w:rPr>
      </w:pPr>
    </w:p>
    <w:p w14:paraId="04A8934A" w14:textId="77777777" w:rsidR="00A27D56" w:rsidRPr="00E31BD2" w:rsidRDefault="00A27D56">
      <w:pPr>
        <w:pStyle w:val="Body"/>
        <w:spacing w:after="0" w:line="240" w:lineRule="auto"/>
        <w:rPr>
          <w:rFonts w:ascii="Century Gothic" w:eastAsia="Century Gothic" w:hAnsi="Century Gothic" w:cs="Century Gothic"/>
          <w:b/>
          <w:bCs/>
        </w:rPr>
      </w:pPr>
    </w:p>
    <w:p w14:paraId="52273E3F" w14:textId="77777777" w:rsidR="00A27D56" w:rsidRPr="00E31BD2" w:rsidRDefault="00000000">
      <w:pPr>
        <w:pStyle w:val="Body"/>
        <w:spacing w:after="0" w:line="240" w:lineRule="auto"/>
        <w:rPr>
          <w:rFonts w:ascii="Century Gothic" w:eastAsia="Century Gothic" w:hAnsi="Century Gothic" w:cs="Century Gothic"/>
          <w:b/>
          <w:bCs/>
        </w:rPr>
      </w:pPr>
      <w:r w:rsidRPr="00E31BD2">
        <w:rPr>
          <w:rFonts w:ascii="Century Gothic" w:hAnsi="Century Gothic"/>
          <w:b/>
          <w:bCs/>
          <w:lang w:val="en-US"/>
        </w:rPr>
        <w:t>BREACH NOTIFICATION</w:t>
      </w:r>
    </w:p>
    <w:p w14:paraId="468BD1D9" w14:textId="77777777" w:rsidR="00A27D56" w:rsidRPr="00E31BD2" w:rsidRDefault="00A27D56">
      <w:pPr>
        <w:pStyle w:val="Body"/>
        <w:spacing w:after="0" w:line="240" w:lineRule="auto"/>
        <w:rPr>
          <w:rFonts w:ascii="Century Gothic" w:eastAsia="Century Gothic" w:hAnsi="Century Gothic" w:cs="Century Gothic"/>
          <w:b/>
          <w:bCs/>
        </w:rPr>
      </w:pPr>
    </w:p>
    <w:p w14:paraId="7CFE5F4D"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A personal data breach is a breach of security leading to the accidental or unlawful destruction, corruption, loss, alteration, </w:t>
      </w:r>
      <w:proofErr w:type="spellStart"/>
      <w:r w:rsidRPr="00E31BD2">
        <w:rPr>
          <w:rFonts w:ascii="Century Gothic" w:hAnsi="Century Gothic"/>
          <w:lang w:val="en-US"/>
        </w:rPr>
        <w:t>unauthorised</w:t>
      </w:r>
      <w:proofErr w:type="spellEnd"/>
      <w:r w:rsidRPr="00E31BD2">
        <w:rPr>
          <w:rFonts w:ascii="Century Gothic" w:hAnsi="Century Gothic"/>
          <w:lang w:val="en-US"/>
        </w:rPr>
        <w:t xml:space="preserve"> disclosure of, or access to, personal data. This includes breaches that are the result of both accidental and deliberate causes. </w:t>
      </w:r>
    </w:p>
    <w:p w14:paraId="459AF546" w14:textId="77777777" w:rsidR="00A27D56" w:rsidRPr="00E31BD2" w:rsidRDefault="00A27D56">
      <w:pPr>
        <w:pStyle w:val="Body"/>
        <w:spacing w:after="0" w:line="240" w:lineRule="auto"/>
        <w:rPr>
          <w:rFonts w:ascii="Century Gothic" w:eastAsia="Century Gothic" w:hAnsi="Century Gothic" w:cs="Century Gothic"/>
        </w:rPr>
      </w:pPr>
    </w:p>
    <w:p w14:paraId="64C05246" w14:textId="77777777" w:rsidR="00A27D56" w:rsidRPr="00E31BD2" w:rsidRDefault="00000000">
      <w:pPr>
        <w:pStyle w:val="Body"/>
        <w:spacing w:after="0" w:line="240" w:lineRule="auto"/>
        <w:rPr>
          <w:rFonts w:ascii="Century Gothic" w:eastAsia="Century Gothic" w:hAnsi="Century Gothic" w:cs="Century Gothic"/>
        </w:rPr>
      </w:pPr>
      <w:r w:rsidRPr="00E31BD2">
        <w:rPr>
          <w:rFonts w:ascii="Century Gothic" w:hAnsi="Century Gothic"/>
          <w:lang w:val="en-US"/>
        </w:rPr>
        <w:t xml:space="preserve">Upon discovery of a personal data breach, members of staff must report it immediately to the Data Protection Officer in line with the </w:t>
      </w:r>
      <w:proofErr w:type="spellStart"/>
      <w:r w:rsidRPr="00E31BD2">
        <w:rPr>
          <w:rFonts w:ascii="Century Gothic" w:hAnsi="Century Gothic"/>
          <w:lang w:val="en-US"/>
        </w:rPr>
        <w:t>organisations</w:t>
      </w:r>
      <w:proofErr w:type="spellEnd"/>
      <w:r w:rsidRPr="00E31BD2">
        <w:rPr>
          <w:rFonts w:ascii="Century Gothic" w:hAnsi="Century Gothic"/>
          <w:lang w:val="en-US"/>
        </w:rPr>
        <w:t xml:space="preserve"> Data Breach policy and procedure. </w:t>
      </w:r>
    </w:p>
    <w:p w14:paraId="41212B16" w14:textId="77777777" w:rsidR="00A27D56" w:rsidRPr="00E31BD2" w:rsidRDefault="00A27D56">
      <w:pPr>
        <w:pStyle w:val="Body"/>
        <w:spacing w:after="0" w:line="240" w:lineRule="auto"/>
        <w:rPr>
          <w:rFonts w:ascii="Century Gothic" w:eastAsia="Century Gothic" w:hAnsi="Century Gothic" w:cs="Century Gothic"/>
        </w:rPr>
      </w:pPr>
    </w:p>
    <w:p w14:paraId="307EB4CC" w14:textId="77777777" w:rsidR="00A27D56" w:rsidRPr="00E31BD2" w:rsidRDefault="00000000">
      <w:pPr>
        <w:pStyle w:val="Body"/>
        <w:spacing w:after="0" w:line="240" w:lineRule="auto"/>
        <w:rPr>
          <w:rFonts w:ascii="Century Gothic" w:eastAsia="Century Gothic" w:hAnsi="Century Gothic" w:cs="Century Gothic"/>
        </w:rPr>
      </w:pPr>
      <w:bookmarkStart w:id="0" w:name="_Hlk100736176"/>
      <w:r w:rsidRPr="00E31BD2">
        <w:rPr>
          <w:rFonts w:ascii="Century Gothic" w:hAnsi="Century Gothic"/>
          <w:lang w:val="en-US"/>
        </w:rPr>
        <w:t xml:space="preserve">When a personal data breach occurs, it is the responsibility of the Data Protection Officer to establish the likelihood and severity of the resulting risk to people’s rights and freedoms. If a risk is likely, then a notification will be sent to the Information Commissioners Office, within seventy-two hours. </w:t>
      </w:r>
      <w:bookmarkEnd w:id="0"/>
    </w:p>
    <w:p w14:paraId="07EACCBB" w14:textId="77777777" w:rsidR="00A27D56" w:rsidRPr="00E31BD2" w:rsidRDefault="00A27D56">
      <w:pPr>
        <w:pStyle w:val="Body"/>
        <w:spacing w:after="0" w:line="240" w:lineRule="auto"/>
        <w:jc w:val="both"/>
        <w:rPr>
          <w:rFonts w:ascii="Century Gothic" w:eastAsia="Century Gothic" w:hAnsi="Century Gothic" w:cs="Century Gothic"/>
          <w:b/>
          <w:bCs/>
        </w:rPr>
      </w:pPr>
    </w:p>
    <w:p w14:paraId="55BCD482" w14:textId="77777777" w:rsidR="00A27D56" w:rsidRPr="00E31BD2" w:rsidRDefault="00A27D56">
      <w:pPr>
        <w:pStyle w:val="Body"/>
        <w:spacing w:after="0" w:line="240" w:lineRule="auto"/>
        <w:jc w:val="both"/>
        <w:rPr>
          <w:rFonts w:ascii="Century Gothic" w:eastAsia="Century Gothic" w:hAnsi="Century Gothic" w:cs="Century Gothic"/>
          <w:b/>
          <w:bCs/>
        </w:rPr>
      </w:pPr>
    </w:p>
    <w:p w14:paraId="4831705E" w14:textId="77777777" w:rsidR="00A27D56" w:rsidRPr="00E31BD2" w:rsidRDefault="00A27D56">
      <w:pPr>
        <w:pStyle w:val="Body"/>
        <w:spacing w:after="0" w:line="240" w:lineRule="auto"/>
        <w:jc w:val="both"/>
        <w:rPr>
          <w:rFonts w:ascii="Century Gothic" w:eastAsia="Century Gothic" w:hAnsi="Century Gothic" w:cs="Century Gothic"/>
          <w:b/>
          <w:bCs/>
        </w:rPr>
      </w:pPr>
    </w:p>
    <w:p w14:paraId="2BB0AAA1" w14:textId="77777777" w:rsidR="00A27D56" w:rsidRPr="00E31BD2" w:rsidRDefault="00A27D56">
      <w:pPr>
        <w:pStyle w:val="Body"/>
        <w:spacing w:after="0" w:line="240" w:lineRule="auto"/>
        <w:jc w:val="both"/>
        <w:rPr>
          <w:rFonts w:ascii="Century Gothic" w:eastAsia="Century Gothic" w:hAnsi="Century Gothic" w:cs="Century Gothic"/>
          <w:b/>
          <w:bCs/>
        </w:rPr>
      </w:pPr>
    </w:p>
    <w:p w14:paraId="338EAC38" w14:textId="77777777" w:rsidR="00A27D56" w:rsidRPr="00E31BD2" w:rsidRDefault="00A27D56">
      <w:pPr>
        <w:pStyle w:val="Body"/>
        <w:spacing w:after="0" w:line="240" w:lineRule="auto"/>
        <w:jc w:val="both"/>
        <w:rPr>
          <w:rFonts w:ascii="Century Gothic" w:eastAsia="Century Gothic" w:hAnsi="Century Gothic" w:cs="Century Gothic"/>
          <w:b/>
          <w:bCs/>
        </w:rPr>
      </w:pPr>
    </w:p>
    <w:p w14:paraId="0371AFFF" w14:textId="77777777" w:rsidR="00A27D56" w:rsidRPr="00E31BD2" w:rsidRDefault="00A27D56">
      <w:pPr>
        <w:pStyle w:val="Body"/>
        <w:spacing w:after="0" w:line="240" w:lineRule="auto"/>
        <w:jc w:val="both"/>
        <w:rPr>
          <w:rFonts w:ascii="Century Gothic" w:eastAsia="Century Gothic" w:hAnsi="Century Gothic" w:cs="Century Gothic"/>
          <w:b/>
          <w:bCs/>
        </w:rPr>
      </w:pPr>
    </w:p>
    <w:p w14:paraId="3B798056" w14:textId="77777777" w:rsidR="00A27D56" w:rsidRPr="00E31BD2" w:rsidRDefault="00A27D56">
      <w:pPr>
        <w:pStyle w:val="Body"/>
        <w:spacing w:after="0" w:line="240" w:lineRule="auto"/>
        <w:jc w:val="both"/>
        <w:rPr>
          <w:rFonts w:ascii="Century Gothic" w:eastAsia="Century Gothic" w:hAnsi="Century Gothic" w:cs="Century Gothic"/>
          <w:b/>
          <w:bCs/>
        </w:rPr>
      </w:pPr>
    </w:p>
    <w:p w14:paraId="3F3D2DA5" w14:textId="77777777" w:rsidR="00A27D56" w:rsidRPr="00E31BD2" w:rsidRDefault="00A27D56">
      <w:pPr>
        <w:pStyle w:val="Body"/>
        <w:spacing w:after="0" w:line="240" w:lineRule="auto"/>
        <w:jc w:val="both"/>
        <w:rPr>
          <w:rFonts w:ascii="Century Gothic" w:eastAsia="Century Gothic" w:hAnsi="Century Gothic" w:cs="Century Gothic"/>
          <w:b/>
          <w:bCs/>
        </w:rPr>
      </w:pPr>
    </w:p>
    <w:p w14:paraId="290CFAF2" w14:textId="77777777" w:rsidR="00A27D56" w:rsidRPr="00E31BD2" w:rsidRDefault="00A27D56">
      <w:pPr>
        <w:pStyle w:val="Body"/>
        <w:spacing w:after="0" w:line="240" w:lineRule="auto"/>
        <w:jc w:val="both"/>
        <w:rPr>
          <w:rFonts w:ascii="Century Gothic" w:eastAsia="Century Gothic" w:hAnsi="Century Gothic" w:cs="Century Gothic"/>
          <w:b/>
          <w:bCs/>
        </w:rPr>
      </w:pPr>
    </w:p>
    <w:p w14:paraId="7203CDE2" w14:textId="77777777" w:rsidR="00A27D56" w:rsidRPr="00E31BD2" w:rsidRDefault="00A27D56">
      <w:pPr>
        <w:pStyle w:val="Body"/>
        <w:spacing w:after="0" w:line="240" w:lineRule="auto"/>
        <w:jc w:val="both"/>
        <w:rPr>
          <w:rFonts w:ascii="Century Gothic" w:eastAsia="Century Gothic" w:hAnsi="Century Gothic" w:cs="Century Gothic"/>
          <w:b/>
          <w:bCs/>
        </w:rPr>
      </w:pPr>
    </w:p>
    <w:p w14:paraId="16FE4B3E" w14:textId="77777777" w:rsidR="00A27D56" w:rsidRPr="00E31BD2" w:rsidRDefault="00A27D56">
      <w:pPr>
        <w:pStyle w:val="Body"/>
        <w:spacing w:after="0" w:line="240" w:lineRule="auto"/>
        <w:jc w:val="both"/>
        <w:rPr>
          <w:rFonts w:ascii="Century Gothic" w:eastAsia="Century Gothic" w:hAnsi="Century Gothic" w:cs="Century Gothic"/>
          <w:b/>
          <w:bCs/>
        </w:rPr>
      </w:pPr>
    </w:p>
    <w:p w14:paraId="64324342"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lastRenderedPageBreak/>
        <w:t>CROSS REFERENCING WITH OTHER POLICIES</w:t>
      </w:r>
    </w:p>
    <w:p w14:paraId="774B2572" w14:textId="77777777" w:rsidR="00A27D56" w:rsidRPr="00E31BD2" w:rsidRDefault="00A27D56">
      <w:pPr>
        <w:pStyle w:val="Body"/>
        <w:spacing w:after="0" w:line="240" w:lineRule="auto"/>
        <w:jc w:val="both"/>
        <w:rPr>
          <w:rFonts w:ascii="Century Gothic" w:eastAsia="Century Gothic" w:hAnsi="Century Gothic" w:cs="Century Gothic"/>
          <w:b/>
          <w:bCs/>
        </w:rPr>
      </w:pPr>
    </w:p>
    <w:p w14:paraId="18E88AE4" w14:textId="1500CC3E"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This policy should be considered alongside all other </w:t>
      </w:r>
      <w:proofErr w:type="spellStart"/>
      <w:r w:rsidR="000C2198" w:rsidRPr="00E31BD2">
        <w:rPr>
          <w:rFonts w:ascii="Century Gothic" w:hAnsi="Century Gothic"/>
          <w:lang w:val="en-US"/>
        </w:rPr>
        <w:t>SENDhelp</w:t>
      </w:r>
      <w:proofErr w:type="spellEnd"/>
      <w:r w:rsidRPr="00E31BD2">
        <w:rPr>
          <w:rFonts w:ascii="Century Gothic" w:hAnsi="Century Gothic"/>
          <w:lang w:val="en-US"/>
        </w:rPr>
        <w:t xml:space="preserve"> policies and procedures.</w:t>
      </w:r>
    </w:p>
    <w:p w14:paraId="2C2505B3" w14:textId="77777777" w:rsidR="00A27D56" w:rsidRPr="00E31BD2" w:rsidRDefault="00A27D56">
      <w:pPr>
        <w:pStyle w:val="Body"/>
        <w:spacing w:after="0" w:line="240" w:lineRule="auto"/>
        <w:jc w:val="both"/>
        <w:rPr>
          <w:rFonts w:ascii="Century Gothic" w:eastAsia="Century Gothic" w:hAnsi="Century Gothic" w:cs="Century Gothic"/>
        </w:rPr>
      </w:pPr>
    </w:p>
    <w:p w14:paraId="235878B3" w14:textId="77777777" w:rsidR="00A27D56" w:rsidRPr="00E31BD2" w:rsidRDefault="00A27D56">
      <w:pPr>
        <w:pStyle w:val="Body"/>
        <w:spacing w:after="0" w:line="240" w:lineRule="auto"/>
        <w:jc w:val="both"/>
        <w:rPr>
          <w:rFonts w:ascii="Century Gothic" w:eastAsia="Century Gothic" w:hAnsi="Century Gothic" w:cs="Century Gothic"/>
        </w:rPr>
      </w:pPr>
    </w:p>
    <w:p w14:paraId="141B283F"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rPr>
        <w:t>LEGISLATIVE FRAMEWORK</w:t>
      </w:r>
    </w:p>
    <w:p w14:paraId="70E3BBB8" w14:textId="77777777" w:rsidR="00A27D56" w:rsidRPr="00E31BD2" w:rsidRDefault="00A27D56">
      <w:pPr>
        <w:pStyle w:val="Body"/>
        <w:spacing w:after="0" w:line="240" w:lineRule="auto"/>
        <w:jc w:val="both"/>
        <w:rPr>
          <w:rFonts w:ascii="Century Gothic" w:eastAsia="Century Gothic" w:hAnsi="Century Gothic" w:cs="Century Gothic"/>
          <w:b/>
          <w:bCs/>
        </w:rPr>
      </w:pPr>
    </w:p>
    <w:p w14:paraId="6BA582F1"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This policy is underpinned by all relevant legislation, including</w:t>
      </w:r>
    </w:p>
    <w:p w14:paraId="479D568E" w14:textId="77777777" w:rsidR="00A27D56" w:rsidRPr="00E31BD2" w:rsidRDefault="00A27D56">
      <w:pPr>
        <w:pStyle w:val="Body"/>
        <w:spacing w:after="0" w:line="240" w:lineRule="auto"/>
        <w:jc w:val="both"/>
        <w:rPr>
          <w:rFonts w:ascii="Century Gothic" w:eastAsia="Century Gothic" w:hAnsi="Century Gothic" w:cs="Century Gothic"/>
          <w:b/>
          <w:bCs/>
        </w:rPr>
      </w:pPr>
    </w:p>
    <w:p w14:paraId="7A0E5AED"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The Data Protection Act – Keeling Schedule (2020)</w:t>
      </w:r>
    </w:p>
    <w:p w14:paraId="13C33208"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The EU General Data Protection Regulations (2018)</w:t>
      </w:r>
    </w:p>
    <w:p w14:paraId="4263212B"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Institute of Fundraising Code of Conduct (2017)</w:t>
      </w:r>
    </w:p>
    <w:p w14:paraId="6FFC344D"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The Protection of Freedoms Act (2012)</w:t>
      </w:r>
    </w:p>
    <w:p w14:paraId="396F6B54"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The Equality Act (2010)</w:t>
      </w:r>
    </w:p>
    <w:p w14:paraId="02754B03"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 xml:space="preserve">The Regulation of Investigatory Powers Act (2000) </w:t>
      </w:r>
    </w:p>
    <w:p w14:paraId="68CB6F3B"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 xml:space="preserve">The Human Rights Act (1998) </w:t>
      </w:r>
    </w:p>
    <w:p w14:paraId="5F770CAA"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The Public Interest Disclosure Act (1998)</w:t>
      </w:r>
    </w:p>
    <w:p w14:paraId="752DCB9E" w14:textId="77777777" w:rsidR="00A27D56" w:rsidRPr="00E31BD2" w:rsidRDefault="00000000">
      <w:pPr>
        <w:pStyle w:val="Body"/>
        <w:numPr>
          <w:ilvl w:val="0"/>
          <w:numId w:val="14"/>
        </w:numPr>
        <w:spacing w:after="0" w:line="240" w:lineRule="auto"/>
        <w:jc w:val="both"/>
        <w:rPr>
          <w:rFonts w:ascii="Century Gothic" w:hAnsi="Century Gothic"/>
          <w:lang w:val="en-US"/>
        </w:rPr>
      </w:pPr>
      <w:r w:rsidRPr="00E31BD2">
        <w:rPr>
          <w:rFonts w:ascii="Century Gothic" w:hAnsi="Century Gothic"/>
          <w:lang w:val="en-US"/>
        </w:rPr>
        <w:t>The Computer Misuse Act (1990)</w:t>
      </w:r>
    </w:p>
    <w:p w14:paraId="78E961E2" w14:textId="77777777" w:rsidR="00A27D56" w:rsidRPr="00E31BD2" w:rsidRDefault="00A27D56">
      <w:pPr>
        <w:pStyle w:val="Body"/>
        <w:spacing w:after="0" w:line="240" w:lineRule="auto"/>
        <w:jc w:val="both"/>
        <w:rPr>
          <w:rFonts w:ascii="Century Gothic" w:eastAsia="Century Gothic" w:hAnsi="Century Gothic" w:cs="Century Gothic"/>
          <w:b/>
          <w:bCs/>
        </w:rPr>
      </w:pPr>
    </w:p>
    <w:p w14:paraId="2C5D141D" w14:textId="77777777" w:rsidR="00A27D56" w:rsidRPr="00E31BD2" w:rsidRDefault="00A27D56">
      <w:pPr>
        <w:pStyle w:val="Body"/>
        <w:spacing w:after="0" w:line="240" w:lineRule="auto"/>
        <w:jc w:val="both"/>
        <w:rPr>
          <w:rFonts w:ascii="Century Gothic" w:eastAsia="Century Gothic" w:hAnsi="Century Gothic" w:cs="Century Gothic"/>
          <w:b/>
          <w:bCs/>
        </w:rPr>
      </w:pPr>
    </w:p>
    <w:p w14:paraId="09D95D80" w14:textId="77777777" w:rsidR="00A27D56" w:rsidRPr="00E31BD2" w:rsidRDefault="00000000">
      <w:pPr>
        <w:pStyle w:val="Body"/>
        <w:spacing w:after="0" w:line="240" w:lineRule="auto"/>
        <w:jc w:val="both"/>
        <w:rPr>
          <w:rFonts w:ascii="Century Gothic" w:eastAsia="Century Gothic" w:hAnsi="Century Gothic" w:cs="Century Gothic"/>
          <w:b/>
          <w:bCs/>
          <w:sz w:val="24"/>
          <w:szCs w:val="24"/>
        </w:rPr>
      </w:pPr>
      <w:r w:rsidRPr="00E31BD2">
        <w:rPr>
          <w:rFonts w:ascii="Century Gothic" w:hAnsi="Century Gothic"/>
          <w:b/>
          <w:bCs/>
          <w:sz w:val="24"/>
          <w:szCs w:val="24"/>
          <w:lang w:val="en-US"/>
        </w:rPr>
        <w:t>RESPONSIBILITY</w:t>
      </w:r>
    </w:p>
    <w:p w14:paraId="72E4BD7B"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4C460A8C"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It is the responsibility of the Directors to oversee implementation of this policy. Every member of staff is responsible for </w:t>
      </w:r>
      <w:proofErr w:type="spellStart"/>
      <w:r w:rsidRPr="00E31BD2">
        <w:rPr>
          <w:rFonts w:ascii="Century Gothic" w:hAnsi="Century Gothic"/>
          <w:lang w:val="en-US"/>
        </w:rPr>
        <w:t>familiarising</w:t>
      </w:r>
      <w:proofErr w:type="spellEnd"/>
      <w:r w:rsidRPr="00E31BD2">
        <w:rPr>
          <w:rFonts w:ascii="Century Gothic" w:hAnsi="Century Gothic"/>
          <w:lang w:val="en-US"/>
        </w:rPr>
        <w:t xml:space="preserve"> themselves with this policy and to be guided by its principles.</w:t>
      </w:r>
    </w:p>
    <w:p w14:paraId="360F883C"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0CEA2471" w14:textId="77777777" w:rsidR="00A27D56" w:rsidRPr="00E31BD2" w:rsidRDefault="00A27D56">
      <w:pPr>
        <w:pStyle w:val="Body"/>
        <w:spacing w:after="0" w:line="240" w:lineRule="auto"/>
        <w:jc w:val="both"/>
        <w:rPr>
          <w:rFonts w:ascii="Century Gothic" w:eastAsia="Century Gothic" w:hAnsi="Century Gothic" w:cs="Century Gothic"/>
          <w:b/>
          <w:bCs/>
        </w:rPr>
      </w:pPr>
    </w:p>
    <w:p w14:paraId="0D84B0D6"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rPr>
        <w:t>NON-COMPLIANCE</w:t>
      </w:r>
    </w:p>
    <w:p w14:paraId="3680B48B" w14:textId="77777777" w:rsidR="00A27D56" w:rsidRPr="00E31BD2" w:rsidRDefault="00A27D56">
      <w:pPr>
        <w:pStyle w:val="Body"/>
        <w:spacing w:after="0" w:line="240" w:lineRule="auto"/>
        <w:jc w:val="both"/>
        <w:rPr>
          <w:rFonts w:ascii="Century Gothic" w:eastAsia="Century Gothic" w:hAnsi="Century Gothic" w:cs="Century Gothic"/>
        </w:rPr>
      </w:pPr>
    </w:p>
    <w:p w14:paraId="029B182F" w14:textId="77777777" w:rsidR="00A27D56" w:rsidRPr="00E31BD2" w:rsidRDefault="00000000">
      <w:pPr>
        <w:pStyle w:val="Body"/>
        <w:spacing w:after="0" w:line="240" w:lineRule="auto"/>
        <w:jc w:val="both"/>
        <w:rPr>
          <w:rFonts w:ascii="Century Gothic" w:eastAsia="Century Gothic" w:hAnsi="Century Gothic" w:cs="Century Gothic"/>
        </w:rPr>
      </w:pPr>
      <w:r w:rsidRPr="00E31BD2">
        <w:rPr>
          <w:rFonts w:ascii="Century Gothic" w:hAnsi="Century Gothic"/>
          <w:lang w:val="en-US"/>
        </w:rPr>
        <w:t xml:space="preserve">Non-compliance with this policy could render the </w:t>
      </w:r>
      <w:proofErr w:type="spellStart"/>
      <w:r w:rsidRPr="00E31BD2">
        <w:rPr>
          <w:rFonts w:ascii="Century Gothic" w:hAnsi="Century Gothic"/>
          <w:lang w:val="en-US"/>
        </w:rPr>
        <w:t>organisation</w:t>
      </w:r>
      <w:proofErr w:type="spellEnd"/>
      <w:r w:rsidRPr="00E31BD2">
        <w:rPr>
          <w:rFonts w:ascii="Century Gothic" w:hAnsi="Century Gothic"/>
          <w:lang w:val="en-US"/>
        </w:rPr>
        <w:t xml:space="preserve">, and in some cases the individual, liable to statutory fine and prosecution. </w:t>
      </w:r>
    </w:p>
    <w:p w14:paraId="12FB74D4"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53BDB3DF"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2FAA4E1A"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3382F7FD"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427075C2"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6F626CF0"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2DFA2EBF"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71E01D17"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3DC8F50A"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616D59DF"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3B1DA6AA"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7B8F9BC0"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4F570657"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589B1F88"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52157BC6"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1D3A2CD4"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5BD688F2" w14:textId="77777777" w:rsidR="00A27D56" w:rsidRPr="00E31BD2" w:rsidRDefault="00A27D56">
      <w:pPr>
        <w:pStyle w:val="Body"/>
        <w:spacing w:after="0" w:line="240" w:lineRule="auto"/>
        <w:jc w:val="both"/>
        <w:rPr>
          <w:rFonts w:ascii="Century Gothic" w:eastAsia="Century Gothic" w:hAnsi="Century Gothic" w:cs="Century Gothic"/>
          <w:b/>
          <w:bCs/>
          <w:sz w:val="24"/>
          <w:szCs w:val="24"/>
        </w:rPr>
      </w:pPr>
    </w:p>
    <w:p w14:paraId="1C9B796B" w14:textId="77777777" w:rsidR="00A27D56" w:rsidRPr="00E31BD2" w:rsidRDefault="00000000">
      <w:pPr>
        <w:pStyle w:val="Body"/>
        <w:spacing w:after="0" w:line="240" w:lineRule="auto"/>
        <w:jc w:val="both"/>
        <w:rPr>
          <w:rFonts w:ascii="Century Gothic" w:eastAsia="Century Gothic" w:hAnsi="Century Gothic" w:cs="Century Gothic"/>
          <w:b/>
          <w:bCs/>
        </w:rPr>
      </w:pPr>
      <w:r w:rsidRPr="00E31BD2">
        <w:rPr>
          <w:rFonts w:ascii="Century Gothic" w:hAnsi="Century Gothic"/>
          <w:b/>
          <w:bCs/>
          <w:lang w:val="en-US"/>
        </w:rPr>
        <w:lastRenderedPageBreak/>
        <w:t xml:space="preserve">EQUALITY IMPACT ASSESSMENT </w:t>
      </w:r>
    </w:p>
    <w:p w14:paraId="138DC74E" w14:textId="77777777" w:rsidR="00A27D56" w:rsidRPr="00E31BD2" w:rsidRDefault="00A27D56">
      <w:pPr>
        <w:pStyle w:val="Body"/>
        <w:spacing w:after="0" w:line="240" w:lineRule="auto"/>
        <w:jc w:val="both"/>
        <w:rPr>
          <w:rFonts w:ascii="Century Gothic" w:eastAsia="Times New Roman" w:hAnsi="Century Gothic" w:cs="Times New Roman"/>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A27D56" w:rsidRPr="00E31BD2" w14:paraId="1101B2B8" w14:textId="77777777">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4123AF1D" w14:textId="77777777" w:rsidR="00A27D56" w:rsidRPr="00E31BD2" w:rsidRDefault="00000000">
            <w:pPr>
              <w:pStyle w:val="Body"/>
              <w:jc w:val="both"/>
              <w:rPr>
                <w:rFonts w:ascii="Century Gothic" w:hAnsi="Century Gothic"/>
              </w:rPr>
            </w:pPr>
            <w:r w:rsidRPr="00E31BD2">
              <w:rPr>
                <w:rFonts w:ascii="Century Gothic" w:hAnsi="Century Gothic"/>
                <w:b/>
                <w:bCs/>
                <w:sz w:val="20"/>
                <w:szCs w:val="20"/>
                <w:lang w:val="en-US"/>
              </w:rPr>
              <w:t xml:space="preserve">Is the policy new </w:t>
            </w:r>
            <w:r w:rsidRPr="00E31BD2">
              <w:rPr>
                <w:rFonts w:ascii="Segoe UI Symbol" w:eastAsia="MS Gothic" w:hAnsi="Segoe UI Symbol" w:cs="Segoe UI Symbol"/>
                <w:b/>
                <w:bCs/>
                <w:sz w:val="20"/>
                <w:szCs w:val="20"/>
                <w:lang w:val="en-US"/>
              </w:rPr>
              <w:t>☒</w:t>
            </w:r>
            <w:r w:rsidRPr="00E31BD2">
              <w:rPr>
                <w:rFonts w:ascii="Century Gothic" w:hAnsi="Century Gothic"/>
                <w:b/>
                <w:bCs/>
                <w:lang w:val="en-US"/>
              </w:rPr>
              <w:t xml:space="preserve"> </w:t>
            </w:r>
            <w:r w:rsidRPr="00E31BD2">
              <w:rPr>
                <w:rFonts w:ascii="Century Gothic" w:hAnsi="Century Gothic"/>
                <w:b/>
                <w:bCs/>
                <w:sz w:val="20"/>
                <w:szCs w:val="20"/>
                <w:lang w:val="en-US"/>
              </w:rPr>
              <w:t xml:space="preserve">or a review </w:t>
            </w:r>
            <w:proofErr w:type="gramStart"/>
            <w:r w:rsidRPr="00E31BD2">
              <w:rPr>
                <w:rFonts w:ascii="Segoe UI Symbol" w:eastAsia="MS Gothic" w:hAnsi="Segoe UI Symbol" w:cs="Segoe UI Symbol"/>
                <w:b/>
                <w:bCs/>
                <w:sz w:val="20"/>
                <w:szCs w:val="20"/>
                <w:lang w:val="en-US"/>
              </w:rPr>
              <w:t>☐</w:t>
            </w:r>
            <w:r w:rsidRPr="00E31BD2">
              <w:rPr>
                <w:rFonts w:ascii="Century Gothic" w:hAnsi="Century Gothic"/>
                <w:b/>
                <w:bCs/>
                <w:lang w:val="en-US"/>
              </w:rPr>
              <w:t xml:space="preserve"> </w:t>
            </w:r>
            <w:r w:rsidRPr="00E31BD2">
              <w:rPr>
                <w:rFonts w:ascii="Century Gothic" w:hAnsi="Century Gothic"/>
                <w:b/>
                <w:bCs/>
                <w:sz w:val="20"/>
                <w:szCs w:val="20"/>
                <w:lang w:val="en-US"/>
              </w:rPr>
              <w:t>?</w:t>
            </w:r>
            <w:proofErr w:type="gramEnd"/>
            <w:r w:rsidRPr="00E31BD2">
              <w:rPr>
                <w:rFonts w:ascii="Century Gothic" w:hAnsi="Century Gothic"/>
                <w:b/>
                <w:bCs/>
                <w:sz w:val="20"/>
                <w:szCs w:val="20"/>
                <w:lang w:val="en-US"/>
              </w:rPr>
              <w:t xml:space="preserve"> </w:t>
            </w:r>
            <w:r w:rsidRPr="00E31BD2">
              <w:rPr>
                <w:rFonts w:ascii="Century Gothic" w:hAnsi="Century Gothic"/>
                <w:sz w:val="20"/>
                <w:szCs w:val="20"/>
                <w:lang w:val="en-US"/>
              </w:rPr>
              <w:t>(New policies should be considered by at least two people prior to ratification in relation to equality impact)</w:t>
            </w:r>
          </w:p>
        </w:tc>
      </w:tr>
      <w:tr w:rsidR="00A27D56" w:rsidRPr="00E31BD2" w14:paraId="5F136679" w14:textId="77777777">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093205C1"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b/>
                <w:bCs/>
                <w:sz w:val="20"/>
                <w:szCs w:val="20"/>
                <w:lang w:val="en-US"/>
              </w:rPr>
              <w:t xml:space="preserve">Assessment: </w:t>
            </w:r>
            <w:r w:rsidRPr="00E31BD2">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A27D56" w:rsidRPr="00E31BD2" w14:paraId="190E682A" w14:textId="77777777">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F13FD"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E9732"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B1B2E" w14:textId="7EA6BBE9" w:rsidR="00A27D56" w:rsidRPr="00E31BD2" w:rsidRDefault="000C2198">
            <w:pPr>
              <w:pStyle w:val="Body"/>
              <w:spacing w:after="0" w:line="240" w:lineRule="auto"/>
              <w:jc w:val="both"/>
              <w:rPr>
                <w:rFonts w:ascii="Century Gothic" w:hAnsi="Century Gothic"/>
              </w:rPr>
            </w:pPr>
            <w:proofErr w:type="spellStart"/>
            <w:r w:rsidRPr="00E31BD2">
              <w:rPr>
                <w:rFonts w:ascii="Century Gothic" w:hAnsi="Century Gothic"/>
                <w:sz w:val="20"/>
                <w:szCs w:val="20"/>
                <w:lang w:val="en-US"/>
              </w:rPr>
              <w:t>SENDhelp</w:t>
            </w:r>
            <w:proofErr w:type="spellEnd"/>
            <w:r w:rsidRPr="00E31BD2">
              <w:rPr>
                <w:rFonts w:ascii="Century Gothic" w:hAnsi="Century Gothic"/>
                <w:sz w:val="20"/>
                <w:szCs w:val="20"/>
                <w:lang w:val="en-US"/>
              </w:rPr>
              <w:t xml:space="preserve"> 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A27D56" w:rsidRPr="00E31BD2" w14:paraId="34C5CCAF"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ECC6D"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56224"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B82D22D" w14:textId="77777777" w:rsidR="00A27D56" w:rsidRPr="00E31BD2" w:rsidRDefault="00A27D56">
            <w:pPr>
              <w:rPr>
                <w:rFonts w:ascii="Century Gothic" w:hAnsi="Century Gothic"/>
              </w:rPr>
            </w:pPr>
          </w:p>
        </w:tc>
      </w:tr>
      <w:tr w:rsidR="00A27D56" w:rsidRPr="00E31BD2" w14:paraId="4391D50F"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A223A"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0FDDF0"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1C23C57" w14:textId="77777777" w:rsidR="00A27D56" w:rsidRPr="00E31BD2" w:rsidRDefault="00A27D56">
            <w:pPr>
              <w:rPr>
                <w:rFonts w:ascii="Century Gothic" w:hAnsi="Century Gothic"/>
              </w:rPr>
            </w:pPr>
          </w:p>
        </w:tc>
      </w:tr>
      <w:tr w:rsidR="00A27D56" w:rsidRPr="00E31BD2" w14:paraId="41CE0C35"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7793D"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2FC5D"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51F86881" w14:textId="77777777" w:rsidR="00A27D56" w:rsidRPr="00E31BD2" w:rsidRDefault="00A27D56">
            <w:pPr>
              <w:rPr>
                <w:rFonts w:ascii="Century Gothic" w:hAnsi="Century Gothic"/>
              </w:rPr>
            </w:pPr>
          </w:p>
        </w:tc>
      </w:tr>
      <w:tr w:rsidR="00A27D56" w:rsidRPr="00E31BD2" w14:paraId="368E968E"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723F3"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ADAD3"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0D99750" w14:textId="77777777" w:rsidR="00A27D56" w:rsidRPr="00E31BD2" w:rsidRDefault="00A27D56">
            <w:pPr>
              <w:rPr>
                <w:rFonts w:ascii="Century Gothic" w:hAnsi="Century Gothic"/>
              </w:rPr>
            </w:pPr>
          </w:p>
        </w:tc>
      </w:tr>
      <w:tr w:rsidR="00A27D56" w:rsidRPr="00E31BD2" w14:paraId="6189B4E0"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8BCC"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9D79F"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5419F51" w14:textId="77777777" w:rsidR="00A27D56" w:rsidRPr="00E31BD2" w:rsidRDefault="00A27D56">
            <w:pPr>
              <w:rPr>
                <w:rFonts w:ascii="Century Gothic" w:hAnsi="Century Gothic"/>
              </w:rPr>
            </w:pPr>
          </w:p>
        </w:tc>
      </w:tr>
      <w:tr w:rsidR="00A27D56" w:rsidRPr="00E31BD2" w14:paraId="4928A212"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CD607"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BD6E2"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ECF7E30" w14:textId="77777777" w:rsidR="00A27D56" w:rsidRPr="00E31BD2" w:rsidRDefault="00A27D56">
            <w:pPr>
              <w:rPr>
                <w:rFonts w:ascii="Century Gothic" w:hAnsi="Century Gothic"/>
              </w:rPr>
            </w:pPr>
          </w:p>
        </w:tc>
      </w:tr>
      <w:tr w:rsidR="00A27D56" w:rsidRPr="00E31BD2" w14:paraId="6B68B831"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E73F1"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2B181"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5B306A3E" w14:textId="77777777" w:rsidR="00A27D56" w:rsidRPr="00E31BD2" w:rsidRDefault="00A27D56">
            <w:pPr>
              <w:rPr>
                <w:rFonts w:ascii="Century Gothic" w:hAnsi="Century Gothic"/>
              </w:rPr>
            </w:pPr>
          </w:p>
        </w:tc>
      </w:tr>
      <w:tr w:rsidR="00A27D56" w:rsidRPr="00E31BD2" w14:paraId="63AB46DF" w14:textId="77777777">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2B6F30AE"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b/>
                <w:bCs/>
                <w:sz w:val="20"/>
                <w:szCs w:val="20"/>
                <w:lang w:val="en-US"/>
              </w:rPr>
              <w:t>Which of the following statements best describes the outcome of the assessment? </w:t>
            </w:r>
          </w:p>
        </w:tc>
      </w:tr>
      <w:tr w:rsidR="00A27D56" w:rsidRPr="00E31BD2" w14:paraId="26B278D6"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AB3AD"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b/>
                <w:bCs/>
                <w:sz w:val="20"/>
                <w:szCs w:val="20"/>
                <w:lang w:val="en-US"/>
              </w:rPr>
              <w:t xml:space="preserve">Outcome 1: Continue: No change required: </w:t>
            </w:r>
            <w:r w:rsidRPr="00E31BD2">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BC572"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r>
      <w:tr w:rsidR="00A27D56" w:rsidRPr="00E31BD2" w14:paraId="06EC80CD"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27C17"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b/>
                <w:bCs/>
                <w:sz w:val="20"/>
                <w:szCs w:val="20"/>
                <w:lang w:val="en-US"/>
              </w:rPr>
              <w:t xml:space="preserve">Outcome 2: Continue: Minor changes required: </w:t>
            </w:r>
            <w:r w:rsidRPr="00E31BD2">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F49BC"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r>
      <w:tr w:rsidR="00A27D56" w:rsidRPr="00E31BD2" w14:paraId="50350F4D"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5E13C"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b/>
                <w:bCs/>
                <w:sz w:val="20"/>
                <w:szCs w:val="20"/>
                <w:lang w:val="en-US"/>
              </w:rPr>
              <w:t xml:space="preserve">Outcome 3: Continue: Major changes required: </w:t>
            </w:r>
            <w:r w:rsidRPr="00E31BD2">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E8D71"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r>
      <w:tr w:rsidR="00A27D56" w:rsidRPr="00E31BD2" w14:paraId="3A854D21" w14:textId="77777777">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8E281"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b/>
                <w:bCs/>
                <w:sz w:val="20"/>
                <w:szCs w:val="20"/>
                <w:lang w:val="en-US"/>
              </w:rPr>
              <w:t xml:space="preserve">Outcome 4: Continue: Changes are not practicable: </w:t>
            </w:r>
            <w:r w:rsidRPr="00E31BD2">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6270F"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r>
      <w:tr w:rsidR="00A27D56" w:rsidRPr="00E31BD2" w14:paraId="5E4C58F8" w14:textId="77777777">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CCD4C" w14:textId="77777777" w:rsidR="00A27D56" w:rsidRPr="00E31BD2" w:rsidRDefault="00000000">
            <w:pPr>
              <w:pStyle w:val="Body"/>
              <w:spacing w:after="0" w:line="240" w:lineRule="auto"/>
              <w:jc w:val="both"/>
              <w:rPr>
                <w:rFonts w:ascii="Century Gothic" w:hAnsi="Century Gothic"/>
              </w:rPr>
            </w:pPr>
            <w:r w:rsidRPr="00E31BD2">
              <w:rPr>
                <w:rFonts w:ascii="Century Gothic" w:hAnsi="Century Gothic"/>
                <w:b/>
                <w:bCs/>
                <w:sz w:val="20"/>
                <w:szCs w:val="20"/>
                <w:lang w:val="en-US"/>
              </w:rPr>
              <w:t xml:space="preserve">Outcome 5: Cessation: </w:t>
            </w:r>
            <w:r w:rsidRPr="00E31BD2">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C9C12" w14:textId="77777777" w:rsidR="00A27D56" w:rsidRPr="00E31BD2" w:rsidRDefault="00000000">
            <w:pPr>
              <w:pStyle w:val="Body"/>
              <w:spacing w:after="0" w:line="240" w:lineRule="auto"/>
              <w:jc w:val="both"/>
              <w:rPr>
                <w:rFonts w:ascii="Century Gothic" w:hAnsi="Century Gothic"/>
              </w:rPr>
            </w:pPr>
            <w:r w:rsidRPr="00E31BD2">
              <w:rPr>
                <w:rFonts w:ascii="Segoe UI Symbol" w:eastAsia="Segoe UI Symbol" w:hAnsi="Segoe UI Symbol" w:cs="Segoe UI Symbol"/>
                <w:sz w:val="20"/>
                <w:szCs w:val="20"/>
                <w:lang w:val="en-US"/>
              </w:rPr>
              <w:t>☐</w:t>
            </w:r>
          </w:p>
        </w:tc>
      </w:tr>
    </w:tbl>
    <w:p w14:paraId="31FE1AA8" w14:textId="77777777" w:rsidR="00A27D56" w:rsidRPr="00E31BD2" w:rsidRDefault="00A27D56">
      <w:pPr>
        <w:pStyle w:val="Body"/>
        <w:widowControl w:val="0"/>
        <w:spacing w:after="0" w:line="240" w:lineRule="auto"/>
        <w:jc w:val="both"/>
        <w:rPr>
          <w:rFonts w:ascii="Century Gothic" w:eastAsia="Times New Roman" w:hAnsi="Century Gothic" w:cs="Times New Roman"/>
        </w:rPr>
      </w:pPr>
    </w:p>
    <w:p w14:paraId="7C515C78" w14:textId="77777777" w:rsidR="00A27D56" w:rsidRPr="00E31BD2" w:rsidRDefault="00A27D56">
      <w:pPr>
        <w:pStyle w:val="Body"/>
        <w:spacing w:after="0" w:line="240" w:lineRule="auto"/>
        <w:jc w:val="both"/>
        <w:rPr>
          <w:rFonts w:ascii="Century Gothic" w:eastAsia="Times New Roman" w:hAnsi="Century Gothic" w:cs="Times New Roman"/>
        </w:rPr>
      </w:pPr>
    </w:p>
    <w:p w14:paraId="585565B2" w14:textId="77777777" w:rsidR="00A27D56" w:rsidRPr="00E31BD2" w:rsidRDefault="00A27D56">
      <w:pPr>
        <w:pStyle w:val="Body"/>
        <w:spacing w:after="0" w:line="240" w:lineRule="auto"/>
        <w:jc w:val="both"/>
        <w:rPr>
          <w:rFonts w:ascii="Century Gothic" w:eastAsia="Times New Roman" w:hAnsi="Century Gothic" w:cs="Times New Roman"/>
        </w:rPr>
      </w:pPr>
    </w:p>
    <w:p w14:paraId="5F2B527A" w14:textId="77777777" w:rsidR="00A27D56" w:rsidRPr="00E31BD2" w:rsidRDefault="00A27D56">
      <w:pPr>
        <w:pStyle w:val="Body"/>
        <w:spacing w:after="0" w:line="240" w:lineRule="auto"/>
        <w:jc w:val="both"/>
        <w:rPr>
          <w:rFonts w:ascii="Century Gothic" w:eastAsia="Times New Roman" w:hAnsi="Century Gothic" w:cs="Times New Roman"/>
        </w:rPr>
      </w:pPr>
    </w:p>
    <w:p w14:paraId="1C07F2FB" w14:textId="77777777" w:rsidR="00A27D56" w:rsidRPr="00E31BD2" w:rsidRDefault="00A27D56">
      <w:pPr>
        <w:pStyle w:val="Body"/>
        <w:spacing w:after="0" w:line="240" w:lineRule="auto"/>
        <w:jc w:val="both"/>
        <w:rPr>
          <w:rFonts w:ascii="Century Gothic" w:eastAsia="Times New Roman" w:hAnsi="Century Gothic" w:cs="Times New Roman"/>
          <w:sz w:val="24"/>
          <w:szCs w:val="24"/>
        </w:rPr>
      </w:pPr>
    </w:p>
    <w:p w14:paraId="780146CB" w14:textId="77777777" w:rsidR="00A27D56" w:rsidRPr="00E31BD2" w:rsidRDefault="00000000">
      <w:pPr>
        <w:pStyle w:val="Body"/>
        <w:spacing w:after="0" w:line="240" w:lineRule="auto"/>
        <w:jc w:val="both"/>
        <w:rPr>
          <w:rFonts w:ascii="Century Gothic" w:eastAsia="Times New Roman" w:hAnsi="Century Gothic" w:cs="Times New Roman"/>
          <w:sz w:val="24"/>
          <w:szCs w:val="24"/>
        </w:rPr>
      </w:pPr>
      <w:r w:rsidRPr="00E31BD2">
        <w:rPr>
          <w:rFonts w:ascii="Century Gothic" w:hAnsi="Century Gothic"/>
          <w:sz w:val="20"/>
          <w:szCs w:val="20"/>
          <w:lang w:val="en-US"/>
        </w:rPr>
        <w:t> </w:t>
      </w:r>
    </w:p>
    <w:p w14:paraId="6405E21D" w14:textId="77777777" w:rsidR="00A27D56" w:rsidRPr="00E31BD2" w:rsidRDefault="00A27D56">
      <w:pPr>
        <w:pStyle w:val="Body"/>
        <w:spacing w:after="0" w:line="240" w:lineRule="auto"/>
        <w:jc w:val="both"/>
        <w:rPr>
          <w:rFonts w:ascii="Century Gothic" w:eastAsia="Century Gothic" w:hAnsi="Century Gothic" w:cs="Century Gothic"/>
          <w:sz w:val="28"/>
          <w:szCs w:val="28"/>
        </w:rPr>
      </w:pPr>
    </w:p>
    <w:p w14:paraId="50C062DA" w14:textId="77777777" w:rsidR="00A27D56" w:rsidRPr="00E31BD2" w:rsidRDefault="00A27D56">
      <w:pPr>
        <w:pStyle w:val="Body"/>
        <w:rPr>
          <w:rFonts w:ascii="Century Gothic" w:hAnsi="Century Gothic"/>
        </w:rPr>
      </w:pPr>
    </w:p>
    <w:sectPr w:rsidR="00A27D56" w:rsidRPr="00E31BD2">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7AA9" w14:textId="77777777" w:rsidR="002937C4" w:rsidRDefault="002937C4">
      <w:r>
        <w:separator/>
      </w:r>
    </w:p>
  </w:endnote>
  <w:endnote w:type="continuationSeparator" w:id="0">
    <w:p w14:paraId="01105912" w14:textId="77777777" w:rsidR="002937C4" w:rsidRDefault="0029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03A6" w14:textId="77777777" w:rsidR="00A27D56" w:rsidRDefault="00000000">
    <w:pPr>
      <w:pStyle w:val="Footer"/>
      <w:tabs>
        <w:tab w:val="clear" w:pos="9026"/>
        <w:tab w:val="right" w:pos="9000"/>
      </w:tabs>
      <w:jc w:val="right"/>
      <w:rPr>
        <w:rFonts w:ascii="Century Gothic" w:eastAsia="Century Gothic" w:hAnsi="Century Gothic" w:cs="Century Gothic"/>
        <w:sz w:val="20"/>
        <w:szCs w:val="20"/>
      </w:rPr>
    </w:pPr>
    <w:r>
      <w:rPr>
        <w:rFonts w:ascii="Century Gothic" w:hAnsi="Century Gothic"/>
        <w:sz w:val="20"/>
        <w:szCs w:val="20"/>
      </w:rPr>
      <w:t>Data Protection Policy</w:t>
    </w:r>
  </w:p>
  <w:p w14:paraId="4562D74A" w14:textId="77777777" w:rsidR="00A27D56" w:rsidRDefault="00000000">
    <w:pPr>
      <w:pStyle w:val="Footer"/>
      <w:tabs>
        <w:tab w:val="clear" w:pos="9026"/>
        <w:tab w:val="right" w:pos="9000"/>
      </w:tabs>
      <w:jc w:val="right"/>
    </w:pPr>
    <w:r>
      <w:rPr>
        <w:rFonts w:ascii="Century Gothic" w:hAnsi="Century Gothic"/>
        <w:sz w:val="20"/>
        <w:szCs w:val="20"/>
      </w:rPr>
      <w:t xml:space="preserve">Page | </w:t>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 xml:space="preserve"> PAGE </w:instrText>
    </w:r>
    <w:r>
      <w:rPr>
        <w:rFonts w:ascii="Century Gothic" w:eastAsia="Century Gothic" w:hAnsi="Century Gothic" w:cs="Century Gothic"/>
        <w:sz w:val="20"/>
        <w:szCs w:val="20"/>
      </w:rPr>
      <w:fldChar w:fldCharType="separate"/>
    </w:r>
    <w:r w:rsidR="000C2198">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1E57" w14:textId="77777777" w:rsidR="002937C4" w:rsidRDefault="002937C4">
      <w:r>
        <w:separator/>
      </w:r>
    </w:p>
  </w:footnote>
  <w:footnote w:type="continuationSeparator" w:id="0">
    <w:p w14:paraId="3433280A" w14:textId="77777777" w:rsidR="002937C4" w:rsidRDefault="0029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23A6" w14:textId="77777777" w:rsidR="00A27D56" w:rsidRDefault="00A27D56">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7DB"/>
    <w:multiLevelType w:val="hybridMultilevel"/>
    <w:tmpl w:val="00D2FA54"/>
    <w:styleLink w:val="ImportedStyle7"/>
    <w:lvl w:ilvl="0" w:tplc="1FE852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527A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E428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E29A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F86F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DE59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62A0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A838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6A0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4644BE"/>
    <w:multiLevelType w:val="hybridMultilevel"/>
    <w:tmpl w:val="A2F03E72"/>
    <w:numStyleLink w:val="ImportedStyle4"/>
  </w:abstractNum>
  <w:abstractNum w:abstractNumId="2" w15:restartNumberingAfterBreak="0">
    <w:nsid w:val="2E787D30"/>
    <w:multiLevelType w:val="hybridMultilevel"/>
    <w:tmpl w:val="84201DAC"/>
    <w:numStyleLink w:val="ImportedStyle3"/>
  </w:abstractNum>
  <w:abstractNum w:abstractNumId="3" w15:restartNumberingAfterBreak="0">
    <w:nsid w:val="2F602287"/>
    <w:multiLevelType w:val="hybridMultilevel"/>
    <w:tmpl w:val="AEBAA9B6"/>
    <w:numStyleLink w:val="ImportedStyle2"/>
  </w:abstractNum>
  <w:abstractNum w:abstractNumId="4" w15:restartNumberingAfterBreak="0">
    <w:nsid w:val="2FE05D85"/>
    <w:multiLevelType w:val="hybridMultilevel"/>
    <w:tmpl w:val="BB0C403E"/>
    <w:numStyleLink w:val="ImportedStyle5"/>
  </w:abstractNum>
  <w:abstractNum w:abstractNumId="5" w15:restartNumberingAfterBreak="0">
    <w:nsid w:val="34282743"/>
    <w:multiLevelType w:val="hybridMultilevel"/>
    <w:tmpl w:val="BB0C403E"/>
    <w:styleLink w:val="ImportedStyle5"/>
    <w:lvl w:ilvl="0" w:tplc="EA6029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5861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38ED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43A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98D7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866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A88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F696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402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B749B4"/>
    <w:multiLevelType w:val="hybridMultilevel"/>
    <w:tmpl w:val="886C0F0A"/>
    <w:numStyleLink w:val="ImportedStyle1"/>
  </w:abstractNum>
  <w:abstractNum w:abstractNumId="7" w15:restartNumberingAfterBreak="0">
    <w:nsid w:val="49672E8B"/>
    <w:multiLevelType w:val="hybridMultilevel"/>
    <w:tmpl w:val="A2F03E72"/>
    <w:styleLink w:val="ImportedStyle4"/>
    <w:lvl w:ilvl="0" w:tplc="0D68C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E8B7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2E80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AE67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9E70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C8A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6AF6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8805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9495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2CB733A"/>
    <w:multiLevelType w:val="hybridMultilevel"/>
    <w:tmpl w:val="886C0F0A"/>
    <w:styleLink w:val="ImportedStyle1"/>
    <w:lvl w:ilvl="0" w:tplc="796E015A">
      <w:start w:val="1"/>
      <w:numFmt w:val="bullet"/>
      <w:lvlText w:val="·"/>
      <w:lvlJc w:val="left"/>
      <w:pPr>
        <w:ind w:left="85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92E76C">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D48FD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EA774C">
      <w:start w:val="1"/>
      <w:numFmt w:val="bullet"/>
      <w:lvlText w:val="·"/>
      <w:lvlJc w:val="left"/>
      <w:pPr>
        <w:ind w:left="301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12068A">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9E3D4A">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6C05B2">
      <w:start w:val="1"/>
      <w:numFmt w:val="bullet"/>
      <w:lvlText w:val="·"/>
      <w:lvlJc w:val="left"/>
      <w:pPr>
        <w:ind w:left="517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6A6860">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34429C">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A9256DB"/>
    <w:multiLevelType w:val="hybridMultilevel"/>
    <w:tmpl w:val="00D2FA54"/>
    <w:numStyleLink w:val="ImportedStyle7"/>
  </w:abstractNum>
  <w:abstractNum w:abstractNumId="10" w15:restartNumberingAfterBreak="0">
    <w:nsid w:val="5B911821"/>
    <w:multiLevelType w:val="hybridMultilevel"/>
    <w:tmpl w:val="AD5E6446"/>
    <w:styleLink w:val="ImportedStyle6"/>
    <w:lvl w:ilvl="0" w:tplc="70F4B1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2A15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3EF2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A68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AC94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4CB6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C830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8ADB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6C30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F3F4697"/>
    <w:multiLevelType w:val="hybridMultilevel"/>
    <w:tmpl w:val="84201DAC"/>
    <w:styleLink w:val="ImportedStyle3"/>
    <w:lvl w:ilvl="0" w:tplc="D4EAD6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E044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5C79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D81C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BA9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C49B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F837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26FE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C42D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1B93EA5"/>
    <w:multiLevelType w:val="hybridMultilevel"/>
    <w:tmpl w:val="AD5E6446"/>
    <w:numStyleLink w:val="ImportedStyle6"/>
  </w:abstractNum>
  <w:abstractNum w:abstractNumId="13" w15:restartNumberingAfterBreak="0">
    <w:nsid w:val="767C50ED"/>
    <w:multiLevelType w:val="hybridMultilevel"/>
    <w:tmpl w:val="AEBAA9B6"/>
    <w:styleLink w:val="ImportedStyle2"/>
    <w:lvl w:ilvl="0" w:tplc="5DECA01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BE92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C8EDC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24D3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C85A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0B20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CC8F0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36C5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026C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49348066">
    <w:abstractNumId w:val="8"/>
  </w:num>
  <w:num w:numId="2" w16cid:durableId="1343044852">
    <w:abstractNumId w:val="6"/>
  </w:num>
  <w:num w:numId="3" w16cid:durableId="1602837084">
    <w:abstractNumId w:val="13"/>
  </w:num>
  <w:num w:numId="4" w16cid:durableId="2137915576">
    <w:abstractNumId w:val="3"/>
  </w:num>
  <w:num w:numId="5" w16cid:durableId="1916087977">
    <w:abstractNumId w:val="11"/>
  </w:num>
  <w:num w:numId="6" w16cid:durableId="1279528069">
    <w:abstractNumId w:val="2"/>
  </w:num>
  <w:num w:numId="7" w16cid:durableId="137769877">
    <w:abstractNumId w:val="7"/>
  </w:num>
  <w:num w:numId="8" w16cid:durableId="800927198">
    <w:abstractNumId w:val="1"/>
  </w:num>
  <w:num w:numId="9" w16cid:durableId="995962410">
    <w:abstractNumId w:val="5"/>
  </w:num>
  <w:num w:numId="10" w16cid:durableId="785153163">
    <w:abstractNumId w:val="4"/>
  </w:num>
  <w:num w:numId="11" w16cid:durableId="2112898215">
    <w:abstractNumId w:val="10"/>
  </w:num>
  <w:num w:numId="12" w16cid:durableId="1915821386">
    <w:abstractNumId w:val="12"/>
  </w:num>
  <w:num w:numId="13" w16cid:durableId="946082051">
    <w:abstractNumId w:val="0"/>
  </w:num>
  <w:num w:numId="14" w16cid:durableId="923684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56"/>
    <w:rsid w:val="000267B4"/>
    <w:rsid w:val="000C2198"/>
    <w:rsid w:val="002937C4"/>
    <w:rsid w:val="002A02DF"/>
    <w:rsid w:val="006643FD"/>
    <w:rsid w:val="008E60CA"/>
    <w:rsid w:val="00A27D56"/>
    <w:rsid w:val="00A72DD9"/>
    <w:rsid w:val="00E31BD2"/>
    <w:rsid w:val="00F80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CD08"/>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Woodcock</dc:creator>
  <cp:lastModifiedBy>Alexa Woodcock</cp:lastModifiedBy>
  <cp:revision>2</cp:revision>
  <dcterms:created xsi:type="dcterms:W3CDTF">2026-04-08T09:31:00Z</dcterms:created>
  <dcterms:modified xsi:type="dcterms:W3CDTF">2026-04-08T09:31:00Z</dcterms:modified>
</cp:coreProperties>
</file>